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766D8" w14:textId="0049DD3C" w:rsidR="37BF091B" w:rsidRDefault="37BF091B" w:rsidP="50703D6A">
      <w:pPr>
        <w:pStyle w:val="Heading1"/>
        <w:spacing w:before="322" w:after="322"/>
        <w:rPr>
          <w:rFonts w:hint="eastAsia"/>
        </w:rPr>
      </w:pPr>
      <w:r w:rsidRPr="50703D6A">
        <w:rPr>
          <w:rFonts w:ascii="Aptos" w:eastAsia="Aptos" w:hAnsi="Aptos" w:cs="Aptos"/>
          <w:b/>
          <w:bCs/>
          <w:sz w:val="48"/>
          <w:szCs w:val="48"/>
        </w:rPr>
        <w:t>UNDE NCR – RVP Report</w:t>
      </w:r>
    </w:p>
    <w:p w14:paraId="60CFB91D" w14:textId="4355739A" w:rsidR="37BF091B" w:rsidRDefault="37BF091B" w:rsidP="50703D6A">
      <w:pPr>
        <w:spacing w:before="240" w:after="240"/>
      </w:pPr>
      <w:r w:rsidRPr="50703D6A">
        <w:rPr>
          <w:rFonts w:ascii="Aptos" w:eastAsia="Aptos" w:hAnsi="Aptos" w:cs="Aptos"/>
          <w:b/>
          <w:bCs/>
        </w:rPr>
        <w:t>May to November 2025</w:t>
      </w:r>
    </w:p>
    <w:p w14:paraId="085B27B2" w14:textId="0327CE08" w:rsidR="37BF091B" w:rsidRDefault="37BF091B" w:rsidP="50703D6A">
      <w:pPr>
        <w:spacing w:before="240" w:after="240"/>
      </w:pPr>
      <w:r w:rsidRPr="50703D6A">
        <w:rPr>
          <w:rFonts w:ascii="Aptos" w:eastAsia="Aptos" w:hAnsi="Aptos" w:cs="Aptos"/>
        </w:rPr>
        <w:t>This reporting period has been dominated by the NCR realignment work. For years, the structure in our region has been uneven and increasingly difficult to manage. One local had more than 2,400 members while others had barely 150. The imbalance affected representation, workload, and the ability of locals to function effectively.</w:t>
      </w:r>
    </w:p>
    <w:p w14:paraId="79B61FA9" w14:textId="2C41EBE5" w:rsidR="37BF091B" w:rsidRDefault="37BF091B" w:rsidP="50703D6A">
      <w:pPr>
        <w:spacing w:before="240" w:after="240"/>
      </w:pPr>
      <w:r w:rsidRPr="50703D6A">
        <w:rPr>
          <w:rFonts w:ascii="Aptos" w:eastAsia="Aptos" w:hAnsi="Aptos" w:cs="Aptos"/>
        </w:rPr>
        <w:t xml:space="preserve">To correct this, we moved forward with a full restructuring of the NCR. The old locals (602, 603, 605, 607, 608, 611, 612, 617) will be dissolved and replaced with new locals aligned to L1 organizations instead of buildings or historical groupings. This shift is expected to give members clearer representation and reduce pressure on any single local. The transfer of members into their new locals is largely complete, and elections for the new structures are scheduled for the week of </w:t>
      </w:r>
      <w:r w:rsidRPr="50703D6A">
        <w:rPr>
          <w:rFonts w:ascii="Aptos" w:eastAsia="Aptos" w:hAnsi="Aptos" w:cs="Aptos"/>
          <w:b/>
          <w:bCs/>
        </w:rPr>
        <w:t>November 25–28</w:t>
      </w:r>
      <w:r w:rsidRPr="50703D6A">
        <w:rPr>
          <w:rFonts w:ascii="Aptos" w:eastAsia="Aptos" w:hAnsi="Aptos" w:cs="Aptos"/>
        </w:rPr>
        <w:t>.</w:t>
      </w:r>
    </w:p>
    <w:p w14:paraId="6D6765D0" w14:textId="2FB9E6D3" w:rsidR="37BF091B" w:rsidRDefault="37BF091B" w:rsidP="50703D6A">
      <w:pPr>
        <w:spacing w:before="240" w:after="240"/>
      </w:pPr>
      <w:r w:rsidRPr="50703D6A">
        <w:rPr>
          <w:rFonts w:ascii="Aptos" w:eastAsia="Aptos" w:hAnsi="Aptos" w:cs="Aptos"/>
        </w:rPr>
        <w:t>It hasn’t come without challenges. The transition has required constant communication, database updates, and clarification for members who were unsure where they now belong. Some confusion is expected until the new system settles, but the long-term benefits remain clear: better balance, manageable local sizes, improved advocacy, and a system that finally reflects how the department is structured. Local funds follow members into the new structure, so no one loses what they’ve contributed.</w:t>
      </w:r>
    </w:p>
    <w:p w14:paraId="0D4AAF1E" w14:textId="4FEAA3DA" w:rsidR="50703D6A" w:rsidRDefault="50703D6A"/>
    <w:p w14:paraId="26C3E786" w14:textId="79F1EE1F" w:rsidR="37BF091B" w:rsidRDefault="37BF091B" w:rsidP="50703D6A">
      <w:pPr>
        <w:pStyle w:val="Heading3"/>
        <w:spacing w:before="281" w:after="281"/>
        <w:rPr>
          <w:rFonts w:hint="eastAsia"/>
        </w:rPr>
      </w:pPr>
      <w:r w:rsidRPr="50703D6A">
        <w:rPr>
          <w:rFonts w:ascii="Aptos" w:eastAsia="Aptos" w:hAnsi="Aptos" w:cs="Aptos"/>
          <w:b/>
          <w:bCs/>
        </w:rPr>
        <w:t>SMSRC – Restorative Engagement Program Draw-Down</w:t>
      </w:r>
    </w:p>
    <w:p w14:paraId="02C52BEF" w14:textId="6D1034B7" w:rsidR="37BF091B" w:rsidRDefault="37BF091B" w:rsidP="50703D6A">
      <w:pPr>
        <w:spacing w:before="240" w:after="240"/>
      </w:pPr>
      <w:r w:rsidRPr="50703D6A">
        <w:rPr>
          <w:rFonts w:ascii="Aptos" w:eastAsia="Aptos" w:hAnsi="Aptos" w:cs="Aptos"/>
        </w:rPr>
        <w:t xml:space="preserve">On </w:t>
      </w:r>
      <w:r w:rsidRPr="50703D6A">
        <w:rPr>
          <w:rFonts w:ascii="Aptos" w:eastAsia="Aptos" w:hAnsi="Aptos" w:cs="Aptos"/>
          <w:b/>
          <w:bCs/>
        </w:rPr>
        <w:t>May 14</w:t>
      </w:r>
      <w:r w:rsidRPr="50703D6A">
        <w:rPr>
          <w:rFonts w:ascii="Aptos" w:eastAsia="Aptos" w:hAnsi="Aptos" w:cs="Aptos"/>
        </w:rPr>
        <w:t xml:space="preserve">, I met with the Acting Director of Restorative Engagement (SMSRC) about the upcoming shutdown of their Restorative Engagement Program. I requested to attend the May 15 Town Hall focused on supervisor briefings, with formal notifications to impacted staff scheduled for </w:t>
      </w:r>
      <w:r w:rsidRPr="50703D6A">
        <w:rPr>
          <w:rFonts w:ascii="Aptos" w:eastAsia="Aptos" w:hAnsi="Aptos" w:cs="Aptos"/>
          <w:b/>
          <w:bCs/>
        </w:rPr>
        <w:t>May 26</w:t>
      </w:r>
      <w:r w:rsidRPr="50703D6A">
        <w:rPr>
          <w:rFonts w:ascii="Aptos" w:eastAsia="Aptos" w:hAnsi="Aptos" w:cs="Aptos"/>
        </w:rPr>
        <w:t>.</w:t>
      </w:r>
    </w:p>
    <w:p w14:paraId="0582C841" w14:textId="64CF6CB9" w:rsidR="37BF091B" w:rsidRDefault="37BF091B" w:rsidP="50703D6A">
      <w:pPr>
        <w:spacing w:before="240" w:after="240"/>
      </w:pPr>
      <w:r w:rsidRPr="6E49C07B">
        <w:rPr>
          <w:rFonts w:ascii="Aptos" w:eastAsia="Aptos" w:hAnsi="Aptos" w:cs="Aptos"/>
        </w:rPr>
        <w:t>SMSRC staff are spread nationally, but were originally hired out of Ottawa. The current structure is:</w:t>
      </w:r>
    </w:p>
    <w:p w14:paraId="78983E7A" w14:textId="1E108977" w:rsidR="37BF091B" w:rsidRDefault="37BF091B" w:rsidP="50703D6A">
      <w:pPr>
        <w:pStyle w:val="ListParagraph"/>
        <w:numPr>
          <w:ilvl w:val="0"/>
          <w:numId w:val="1"/>
        </w:numPr>
        <w:spacing w:before="240" w:after="240"/>
        <w:rPr>
          <w:rFonts w:ascii="Aptos" w:eastAsia="Aptos" w:hAnsi="Aptos" w:cs="Aptos"/>
        </w:rPr>
      </w:pPr>
      <w:r w:rsidRPr="50703D6A">
        <w:rPr>
          <w:rFonts w:ascii="Aptos" w:eastAsia="Aptos" w:hAnsi="Aptos" w:cs="Aptos"/>
          <w:b/>
          <w:bCs/>
        </w:rPr>
        <w:t>East (QC–NL + FR NCR):</w:t>
      </w:r>
      <w:r w:rsidRPr="50703D6A">
        <w:rPr>
          <w:rFonts w:ascii="Aptos" w:eastAsia="Aptos" w:hAnsi="Aptos" w:cs="Aptos"/>
        </w:rPr>
        <w:t xml:space="preserve"> 19 staff</w:t>
      </w:r>
    </w:p>
    <w:p w14:paraId="4665B5CA" w14:textId="75EEEBB2" w:rsidR="37BF091B" w:rsidRDefault="37BF091B" w:rsidP="50703D6A">
      <w:pPr>
        <w:pStyle w:val="ListParagraph"/>
        <w:numPr>
          <w:ilvl w:val="0"/>
          <w:numId w:val="1"/>
        </w:numPr>
        <w:spacing w:before="240" w:after="240"/>
        <w:rPr>
          <w:rFonts w:ascii="Aptos" w:eastAsia="Aptos" w:hAnsi="Aptos" w:cs="Aptos"/>
        </w:rPr>
      </w:pPr>
      <w:r w:rsidRPr="50703D6A">
        <w:rPr>
          <w:rFonts w:ascii="Aptos" w:eastAsia="Aptos" w:hAnsi="Aptos" w:cs="Aptos"/>
          <w:b/>
          <w:bCs/>
        </w:rPr>
        <w:t>Central (ON + EN QC):</w:t>
      </w:r>
      <w:r w:rsidRPr="50703D6A">
        <w:rPr>
          <w:rFonts w:ascii="Aptos" w:eastAsia="Aptos" w:hAnsi="Aptos" w:cs="Aptos"/>
        </w:rPr>
        <w:t xml:space="preserve"> 22 staff</w:t>
      </w:r>
    </w:p>
    <w:p w14:paraId="0A5C9632" w14:textId="3ADABE02" w:rsidR="37BF091B" w:rsidRDefault="37BF091B" w:rsidP="50703D6A">
      <w:pPr>
        <w:pStyle w:val="ListParagraph"/>
        <w:numPr>
          <w:ilvl w:val="0"/>
          <w:numId w:val="1"/>
        </w:numPr>
        <w:spacing w:before="240" w:after="240"/>
        <w:rPr>
          <w:rFonts w:ascii="Aptos" w:eastAsia="Aptos" w:hAnsi="Aptos" w:cs="Aptos"/>
        </w:rPr>
      </w:pPr>
      <w:r w:rsidRPr="50703D6A">
        <w:rPr>
          <w:rFonts w:ascii="Aptos" w:eastAsia="Aptos" w:hAnsi="Aptos" w:cs="Aptos"/>
          <w:b/>
          <w:bCs/>
        </w:rPr>
        <w:t>West/North:</w:t>
      </w:r>
      <w:r w:rsidRPr="50703D6A">
        <w:rPr>
          <w:rFonts w:ascii="Aptos" w:eastAsia="Aptos" w:hAnsi="Aptos" w:cs="Aptos"/>
        </w:rPr>
        <w:t xml:space="preserve"> 21 staff</w:t>
      </w:r>
    </w:p>
    <w:p w14:paraId="3D33B5CA" w14:textId="7FC4D769" w:rsidR="37BF091B" w:rsidRDefault="37BF091B" w:rsidP="50703D6A">
      <w:pPr>
        <w:spacing w:before="240" w:after="240"/>
      </w:pPr>
      <w:r w:rsidRPr="50703D6A">
        <w:rPr>
          <w:rFonts w:ascii="Aptos" w:eastAsia="Aptos" w:hAnsi="Aptos" w:cs="Aptos"/>
        </w:rPr>
        <w:t xml:space="preserve">Planned reductions will begin in August, with the final phase concluding in March 2026. Each region is expected to be brought down to </w:t>
      </w:r>
      <w:r w:rsidRPr="50703D6A">
        <w:rPr>
          <w:rFonts w:ascii="Aptos" w:eastAsia="Aptos" w:hAnsi="Aptos" w:cs="Aptos"/>
          <w:b/>
          <w:bCs/>
        </w:rPr>
        <w:t>four positions total</w:t>
      </w:r>
      <w:r w:rsidRPr="50703D6A">
        <w:rPr>
          <w:rFonts w:ascii="Aptos" w:eastAsia="Aptos" w:hAnsi="Aptos" w:cs="Aptos"/>
        </w:rPr>
        <w:t xml:space="preserve"> (1 WP-05 and 3 WP-04). Early departures could reduce the need for layoffs, depending on how attrition plays out. If any SMSRC members reach out to locals, please direct them to me — I will be the point of contact throughout the process.</w:t>
      </w:r>
    </w:p>
    <w:p w14:paraId="33CB807B" w14:textId="73C43D7F" w:rsidR="50703D6A" w:rsidRDefault="50703D6A"/>
    <w:p w14:paraId="3541CC02" w14:textId="3C85B170" w:rsidR="37BF091B" w:rsidRDefault="37BF091B" w:rsidP="50703D6A">
      <w:pPr>
        <w:pStyle w:val="Heading3"/>
        <w:spacing w:before="281" w:after="281"/>
        <w:rPr>
          <w:rFonts w:hint="eastAsia"/>
        </w:rPr>
      </w:pPr>
      <w:r w:rsidRPr="50703D6A">
        <w:rPr>
          <w:rFonts w:ascii="Aptos" w:eastAsia="Aptos" w:hAnsi="Aptos" w:cs="Aptos"/>
          <w:b/>
          <w:bCs/>
        </w:rPr>
        <w:t>Key Events This Period</w:t>
      </w:r>
    </w:p>
    <w:tbl>
      <w:tblPr>
        <w:tblW w:w="0" w:type="auto"/>
        <w:tblLook w:val="06A0" w:firstRow="1" w:lastRow="0" w:firstColumn="1" w:lastColumn="0" w:noHBand="1" w:noVBand="1"/>
      </w:tblPr>
      <w:tblGrid>
        <w:gridCol w:w="1219"/>
        <w:gridCol w:w="8141"/>
      </w:tblGrid>
      <w:tr w:rsidR="50703D6A" w14:paraId="6CD4507B" w14:textId="77777777" w:rsidTr="50703D6A">
        <w:trPr>
          <w:trHeight w:val="300"/>
        </w:trPr>
        <w:tc>
          <w:tcPr>
            <w:tcW w:w="736" w:type="dxa"/>
            <w:vAlign w:val="center"/>
          </w:tcPr>
          <w:p w14:paraId="009FA293" w14:textId="64E0818D" w:rsidR="50703D6A" w:rsidRDefault="50703D6A" w:rsidP="50703D6A">
            <w:pPr>
              <w:spacing w:after="0"/>
              <w:jc w:val="center"/>
            </w:pPr>
            <w:r w:rsidRPr="50703D6A">
              <w:rPr>
                <w:b/>
                <w:bCs/>
              </w:rPr>
              <w:t>Month</w:t>
            </w:r>
          </w:p>
        </w:tc>
        <w:tc>
          <w:tcPr>
            <w:tcW w:w="8624" w:type="dxa"/>
            <w:vAlign w:val="center"/>
          </w:tcPr>
          <w:p w14:paraId="15AB83AF" w14:textId="199B2885" w:rsidR="50703D6A" w:rsidRDefault="50703D6A" w:rsidP="50703D6A">
            <w:pPr>
              <w:spacing w:after="0"/>
              <w:jc w:val="center"/>
            </w:pPr>
            <w:r w:rsidRPr="50703D6A">
              <w:rPr>
                <w:b/>
                <w:bCs/>
              </w:rPr>
              <w:t>Highlights</w:t>
            </w:r>
          </w:p>
        </w:tc>
      </w:tr>
      <w:tr w:rsidR="50703D6A" w14:paraId="09B9DCB4" w14:textId="77777777" w:rsidTr="50703D6A">
        <w:trPr>
          <w:trHeight w:val="300"/>
        </w:trPr>
        <w:tc>
          <w:tcPr>
            <w:tcW w:w="736" w:type="dxa"/>
            <w:vAlign w:val="center"/>
          </w:tcPr>
          <w:p w14:paraId="1CD8FEC4" w14:textId="5156E30C" w:rsidR="50703D6A" w:rsidRDefault="50703D6A" w:rsidP="50703D6A">
            <w:pPr>
              <w:spacing w:after="0"/>
            </w:pPr>
            <w:r w:rsidRPr="50703D6A">
              <w:rPr>
                <w:b/>
                <w:bCs/>
              </w:rPr>
              <w:t>May</w:t>
            </w:r>
          </w:p>
        </w:tc>
        <w:tc>
          <w:tcPr>
            <w:tcW w:w="8624" w:type="dxa"/>
            <w:vAlign w:val="center"/>
          </w:tcPr>
          <w:p w14:paraId="0ACAE77D" w14:textId="24510377" w:rsidR="50703D6A" w:rsidRDefault="50703D6A" w:rsidP="50703D6A">
            <w:pPr>
              <w:spacing w:after="0"/>
            </w:pPr>
            <w:r>
              <w:t>SMSRC Town Hall prep, OAC Meeting, All-Staff Session</w:t>
            </w:r>
          </w:p>
        </w:tc>
      </w:tr>
      <w:tr w:rsidR="50703D6A" w14:paraId="3F6E8EB4" w14:textId="77777777" w:rsidTr="50703D6A">
        <w:trPr>
          <w:trHeight w:val="300"/>
        </w:trPr>
        <w:tc>
          <w:tcPr>
            <w:tcW w:w="736" w:type="dxa"/>
            <w:vAlign w:val="center"/>
          </w:tcPr>
          <w:p w14:paraId="55DA4EC1" w14:textId="263F0FD0" w:rsidR="50703D6A" w:rsidRDefault="50703D6A" w:rsidP="50703D6A">
            <w:pPr>
              <w:spacing w:after="0"/>
            </w:pPr>
            <w:r w:rsidRPr="50703D6A">
              <w:rPr>
                <w:b/>
                <w:bCs/>
              </w:rPr>
              <w:t>June</w:t>
            </w:r>
          </w:p>
        </w:tc>
        <w:tc>
          <w:tcPr>
            <w:tcW w:w="8624" w:type="dxa"/>
            <w:vAlign w:val="center"/>
          </w:tcPr>
          <w:p w14:paraId="19802C2F" w14:textId="46B02B7C" w:rsidR="50703D6A" w:rsidRDefault="50703D6A" w:rsidP="50703D6A">
            <w:pPr>
              <w:spacing w:after="0"/>
            </w:pPr>
            <w:r>
              <w:t>Coffee call with ADM DS, PSAC NCR AGM</w:t>
            </w:r>
          </w:p>
        </w:tc>
      </w:tr>
      <w:tr w:rsidR="50703D6A" w14:paraId="38E2E51C" w14:textId="77777777" w:rsidTr="50703D6A">
        <w:trPr>
          <w:trHeight w:val="300"/>
        </w:trPr>
        <w:tc>
          <w:tcPr>
            <w:tcW w:w="736" w:type="dxa"/>
            <w:vAlign w:val="center"/>
          </w:tcPr>
          <w:p w14:paraId="2EE18E60" w14:textId="3280B97F" w:rsidR="50703D6A" w:rsidRDefault="50703D6A" w:rsidP="50703D6A">
            <w:pPr>
              <w:spacing w:after="0"/>
            </w:pPr>
            <w:r w:rsidRPr="50703D6A">
              <w:rPr>
                <w:b/>
                <w:bCs/>
              </w:rPr>
              <w:t>July</w:t>
            </w:r>
          </w:p>
        </w:tc>
        <w:tc>
          <w:tcPr>
            <w:tcW w:w="8624" w:type="dxa"/>
            <w:vAlign w:val="center"/>
          </w:tcPr>
          <w:p w14:paraId="1F1B8CF2" w14:textId="0C65CE0D" w:rsidR="50703D6A" w:rsidRDefault="50703D6A" w:rsidP="50703D6A">
            <w:pPr>
              <w:spacing w:after="0"/>
            </w:pPr>
            <w:r>
              <w:t>OAC Meeting</w:t>
            </w:r>
          </w:p>
        </w:tc>
      </w:tr>
      <w:tr w:rsidR="50703D6A" w14:paraId="31C5506D" w14:textId="77777777" w:rsidTr="50703D6A">
        <w:trPr>
          <w:trHeight w:val="300"/>
        </w:trPr>
        <w:tc>
          <w:tcPr>
            <w:tcW w:w="736" w:type="dxa"/>
            <w:vAlign w:val="center"/>
          </w:tcPr>
          <w:p w14:paraId="460FF9D1" w14:textId="1BBD6958" w:rsidR="50703D6A" w:rsidRDefault="50703D6A" w:rsidP="50703D6A">
            <w:pPr>
              <w:spacing w:after="0"/>
            </w:pPr>
            <w:r w:rsidRPr="50703D6A">
              <w:rPr>
                <w:b/>
                <w:bCs/>
              </w:rPr>
              <w:t>August</w:t>
            </w:r>
          </w:p>
        </w:tc>
        <w:tc>
          <w:tcPr>
            <w:tcW w:w="8624" w:type="dxa"/>
            <w:vAlign w:val="center"/>
          </w:tcPr>
          <w:p w14:paraId="6D97601C" w14:textId="058943E1" w:rsidR="50703D6A" w:rsidRDefault="50703D6A" w:rsidP="50703D6A">
            <w:pPr>
              <w:spacing w:after="0"/>
            </w:pPr>
            <w:r>
              <w:t>ADM DS Coffee Call</w:t>
            </w:r>
          </w:p>
        </w:tc>
      </w:tr>
      <w:tr w:rsidR="50703D6A" w14:paraId="2BCF5446" w14:textId="77777777" w:rsidTr="50703D6A">
        <w:trPr>
          <w:trHeight w:val="300"/>
        </w:trPr>
        <w:tc>
          <w:tcPr>
            <w:tcW w:w="736" w:type="dxa"/>
            <w:vAlign w:val="center"/>
          </w:tcPr>
          <w:p w14:paraId="58511470" w14:textId="1C54CED9" w:rsidR="50703D6A" w:rsidRDefault="50703D6A" w:rsidP="50703D6A">
            <w:pPr>
              <w:spacing w:after="0"/>
            </w:pPr>
            <w:r w:rsidRPr="50703D6A">
              <w:rPr>
                <w:b/>
                <w:bCs/>
              </w:rPr>
              <w:t>September</w:t>
            </w:r>
          </w:p>
        </w:tc>
        <w:tc>
          <w:tcPr>
            <w:tcW w:w="8624" w:type="dxa"/>
            <w:vAlign w:val="center"/>
          </w:tcPr>
          <w:p w14:paraId="69CF9796" w14:textId="5FBBFB98" w:rsidR="50703D6A" w:rsidRDefault="50703D6A" w:rsidP="50703D6A">
            <w:pPr>
              <w:spacing w:after="0"/>
            </w:pPr>
            <w:r>
              <w:t>Multiple realignment meetings, UMCC (Montfort), CFB OG H&amp;S, PSAC Health &amp; Safety Conference, ADM DSG staffing discussion</w:t>
            </w:r>
          </w:p>
        </w:tc>
      </w:tr>
    </w:tbl>
    <w:p w14:paraId="5B235A92" w14:textId="378E18CB" w:rsidR="37BF091B" w:rsidRDefault="37BF091B" w:rsidP="50703D6A">
      <w:pPr>
        <w:spacing w:before="240" w:after="240"/>
      </w:pPr>
      <w:r w:rsidRPr="50703D6A">
        <w:rPr>
          <w:rFonts w:ascii="Aptos" w:eastAsia="Aptos" w:hAnsi="Aptos" w:cs="Aptos"/>
        </w:rPr>
        <w:t>Most of my time from summer onward has been spent supporting the restructuring. We encountered obstacles moving from the old structure to the new one, but progress remains on pace and implementation will take place the last week of November. The shift to L1 alignment should finally give UNDE NCR a structure that matches how work happens and how decisions flow.</w:t>
      </w:r>
    </w:p>
    <w:p w14:paraId="099A6BBA" w14:textId="5405D7D4" w:rsidR="50703D6A" w:rsidRDefault="50703D6A"/>
    <w:p w14:paraId="7A648E1D" w14:textId="060A7CFC" w:rsidR="37BF091B" w:rsidRDefault="37BF091B" w:rsidP="50703D6A">
      <w:pPr>
        <w:pStyle w:val="Heading3"/>
        <w:spacing w:before="281" w:after="281"/>
        <w:rPr>
          <w:rFonts w:hint="eastAsia"/>
        </w:rPr>
      </w:pPr>
      <w:r w:rsidRPr="50703D6A">
        <w:rPr>
          <w:rFonts w:ascii="Aptos" w:eastAsia="Aptos" w:hAnsi="Aptos" w:cs="Aptos"/>
          <w:b/>
          <w:bCs/>
        </w:rPr>
        <w:t>Ottawa Area Council</w:t>
      </w:r>
    </w:p>
    <w:p w14:paraId="010574EE" w14:textId="7B433DAF" w:rsidR="37BF091B" w:rsidRDefault="37BF091B" w:rsidP="50703D6A">
      <w:pPr>
        <w:spacing w:before="240" w:after="240"/>
      </w:pPr>
      <w:r w:rsidRPr="50703D6A">
        <w:rPr>
          <w:rFonts w:ascii="Aptos" w:eastAsia="Aptos" w:hAnsi="Aptos" w:cs="Aptos"/>
        </w:rPr>
        <w:t>The OAC met virtually on May 14. The meeting approved previous minutes, funded participation in upcoming Pride and Labour Day events, and called for volunteers to support those committees. The Treasurer provided the financial update and Directors reported out before the meeting adjourned.</w:t>
      </w:r>
    </w:p>
    <w:p w14:paraId="5046602A" w14:textId="3FC9642A" w:rsidR="50703D6A" w:rsidRDefault="50703D6A"/>
    <w:p w14:paraId="2DC49810" w14:textId="55BD8454" w:rsidR="37BF091B" w:rsidRDefault="37BF091B" w:rsidP="50703D6A">
      <w:pPr>
        <w:pStyle w:val="Heading3"/>
        <w:spacing w:before="281" w:after="281"/>
        <w:rPr>
          <w:rFonts w:hint="eastAsia"/>
        </w:rPr>
      </w:pPr>
      <w:r w:rsidRPr="50703D6A">
        <w:rPr>
          <w:rFonts w:ascii="Aptos" w:eastAsia="Aptos" w:hAnsi="Aptos" w:cs="Aptos"/>
          <w:b/>
          <w:bCs/>
        </w:rPr>
        <w:t>Closing</w:t>
      </w:r>
    </w:p>
    <w:p w14:paraId="65BA33E5" w14:textId="2BEF5A32" w:rsidR="37BF091B" w:rsidRDefault="37BF091B" w:rsidP="50703D6A">
      <w:pPr>
        <w:spacing w:before="240" w:after="240"/>
      </w:pPr>
      <w:r w:rsidRPr="50703D6A">
        <w:rPr>
          <w:rFonts w:ascii="Aptos" w:eastAsia="Aptos" w:hAnsi="Aptos" w:cs="Aptos"/>
        </w:rPr>
        <w:t>This realignment has been difficult work, but necessary. We’re moving to a model that is more fair, more functional, and more sustainable for the future of UNDE in the NCR. It will take time for everything to settle in, but the foundation is now built for a more balanced and unified region going forward. I’ll continue to work with locals, leadership, and members as we complete the transition and as SMSRC workforce reductions unfold.</w:t>
      </w:r>
    </w:p>
    <w:p w14:paraId="4112DC04" w14:textId="521D96C7" w:rsidR="50703D6A" w:rsidRDefault="50703D6A" w:rsidP="50703D6A">
      <w:pPr>
        <w:spacing w:before="240" w:after="240"/>
        <w:rPr>
          <w:rFonts w:ascii="Aptos" w:eastAsia="Aptos" w:hAnsi="Aptos" w:cs="Aptos"/>
        </w:rPr>
      </w:pPr>
    </w:p>
    <w:p w14:paraId="37AAEBFA" w14:textId="4AD4E6D4" w:rsidR="50703D6A" w:rsidRDefault="50703D6A" w:rsidP="50703D6A">
      <w:pPr>
        <w:spacing w:before="240" w:after="240"/>
        <w:rPr>
          <w:rFonts w:ascii="Aptos" w:eastAsia="Aptos" w:hAnsi="Aptos" w:cs="Aptos"/>
        </w:rPr>
      </w:pPr>
    </w:p>
    <w:p w14:paraId="08A16DD8" w14:textId="7C5DFC3B" w:rsidR="50703D6A" w:rsidRDefault="50703D6A" w:rsidP="50703D6A">
      <w:pPr>
        <w:spacing w:before="240" w:after="240"/>
        <w:rPr>
          <w:rFonts w:ascii="Aptos" w:eastAsia="Aptos" w:hAnsi="Aptos" w:cs="Aptos"/>
        </w:rPr>
      </w:pPr>
    </w:p>
    <w:p w14:paraId="681105C6" w14:textId="48D1F1E8" w:rsidR="50703D6A" w:rsidRDefault="50703D6A" w:rsidP="50703D6A">
      <w:pPr>
        <w:spacing w:before="240" w:after="240"/>
        <w:rPr>
          <w:rFonts w:ascii="Aptos" w:eastAsia="Aptos" w:hAnsi="Aptos" w:cs="Aptos"/>
        </w:rPr>
      </w:pPr>
    </w:p>
    <w:p w14:paraId="7C267FAE" w14:textId="3A5F8E73" w:rsidR="50703D6A" w:rsidRDefault="50703D6A" w:rsidP="50703D6A">
      <w:pPr>
        <w:spacing w:before="240" w:after="240"/>
        <w:rPr>
          <w:rFonts w:ascii="Aptos" w:eastAsia="Aptos" w:hAnsi="Aptos" w:cs="Aptos"/>
        </w:rPr>
      </w:pPr>
    </w:p>
    <w:p w14:paraId="22CB1E56" w14:textId="3F8A2C9B" w:rsidR="50703D6A" w:rsidRDefault="50703D6A" w:rsidP="50703D6A">
      <w:pPr>
        <w:spacing w:before="240" w:after="240"/>
        <w:rPr>
          <w:rFonts w:ascii="Aptos" w:eastAsia="Aptos" w:hAnsi="Aptos" w:cs="Aptos"/>
        </w:rPr>
      </w:pPr>
    </w:p>
    <w:p w14:paraId="3BEBCEAA" w14:textId="0A734B6A" w:rsidR="37BF091B" w:rsidRDefault="37BF091B" w:rsidP="50703D6A">
      <w:pPr>
        <w:spacing w:before="240" w:after="240"/>
      </w:pPr>
      <w:r w:rsidRPr="50703D6A">
        <w:rPr>
          <w:rFonts w:ascii="Aptos" w:eastAsia="Aptos" w:hAnsi="Aptos" w:cs="Aptos"/>
        </w:rPr>
        <w:t>Respectfully submitted,</w:t>
      </w:r>
      <w:r>
        <w:br/>
      </w:r>
      <w:r w:rsidRPr="50703D6A">
        <w:rPr>
          <w:rFonts w:ascii="Aptos" w:eastAsia="Aptos" w:hAnsi="Aptos" w:cs="Aptos"/>
        </w:rPr>
        <w:t xml:space="preserve"> </w:t>
      </w:r>
      <w:r w:rsidRPr="50703D6A">
        <w:rPr>
          <w:rFonts w:ascii="Aptos" w:eastAsia="Aptos" w:hAnsi="Aptos" w:cs="Aptos"/>
          <w:b/>
          <w:bCs/>
        </w:rPr>
        <w:t>Shawn K. King</w:t>
      </w:r>
      <w:r>
        <w:br/>
      </w:r>
      <w:r w:rsidRPr="50703D6A">
        <w:rPr>
          <w:rFonts w:ascii="Aptos" w:eastAsia="Aptos" w:hAnsi="Aptos" w:cs="Aptos"/>
        </w:rPr>
        <w:t xml:space="preserve"> Regional Vice-President – NCR, UNDE</w:t>
      </w:r>
    </w:p>
    <w:p w14:paraId="727BA385" w14:textId="025C133C" w:rsidR="50703D6A" w:rsidRDefault="50703D6A"/>
    <w:sectPr w:rsidR="50703D6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BA26"/>
    <w:multiLevelType w:val="hybridMultilevel"/>
    <w:tmpl w:val="9E2A46BE"/>
    <w:lvl w:ilvl="0" w:tplc="6638D200">
      <w:start w:val="1"/>
      <w:numFmt w:val="bullet"/>
      <w:lvlText w:val=""/>
      <w:lvlJc w:val="left"/>
      <w:pPr>
        <w:ind w:left="720" w:hanging="360"/>
      </w:pPr>
      <w:rPr>
        <w:rFonts w:ascii="Symbol" w:hAnsi="Symbol" w:hint="default"/>
      </w:rPr>
    </w:lvl>
    <w:lvl w:ilvl="1" w:tplc="D79E50F8">
      <w:start w:val="1"/>
      <w:numFmt w:val="bullet"/>
      <w:lvlText w:val="o"/>
      <w:lvlJc w:val="left"/>
      <w:pPr>
        <w:ind w:left="1440" w:hanging="360"/>
      </w:pPr>
      <w:rPr>
        <w:rFonts w:ascii="Courier New" w:hAnsi="Courier New" w:hint="default"/>
      </w:rPr>
    </w:lvl>
    <w:lvl w:ilvl="2" w:tplc="AC444E9A">
      <w:start w:val="1"/>
      <w:numFmt w:val="bullet"/>
      <w:lvlText w:val=""/>
      <w:lvlJc w:val="left"/>
      <w:pPr>
        <w:ind w:left="2160" w:hanging="360"/>
      </w:pPr>
      <w:rPr>
        <w:rFonts w:ascii="Wingdings" w:hAnsi="Wingdings" w:hint="default"/>
      </w:rPr>
    </w:lvl>
    <w:lvl w:ilvl="3" w:tplc="00B431CE">
      <w:start w:val="1"/>
      <w:numFmt w:val="bullet"/>
      <w:lvlText w:val=""/>
      <w:lvlJc w:val="left"/>
      <w:pPr>
        <w:ind w:left="2880" w:hanging="360"/>
      </w:pPr>
      <w:rPr>
        <w:rFonts w:ascii="Symbol" w:hAnsi="Symbol" w:hint="default"/>
      </w:rPr>
    </w:lvl>
    <w:lvl w:ilvl="4" w:tplc="0BE231DC">
      <w:start w:val="1"/>
      <w:numFmt w:val="bullet"/>
      <w:lvlText w:val="o"/>
      <w:lvlJc w:val="left"/>
      <w:pPr>
        <w:ind w:left="3600" w:hanging="360"/>
      </w:pPr>
      <w:rPr>
        <w:rFonts w:ascii="Courier New" w:hAnsi="Courier New" w:hint="default"/>
      </w:rPr>
    </w:lvl>
    <w:lvl w:ilvl="5" w:tplc="3D08DD12">
      <w:start w:val="1"/>
      <w:numFmt w:val="bullet"/>
      <w:lvlText w:val=""/>
      <w:lvlJc w:val="left"/>
      <w:pPr>
        <w:ind w:left="4320" w:hanging="360"/>
      </w:pPr>
      <w:rPr>
        <w:rFonts w:ascii="Wingdings" w:hAnsi="Wingdings" w:hint="default"/>
      </w:rPr>
    </w:lvl>
    <w:lvl w:ilvl="6" w:tplc="AFEA2BDA">
      <w:start w:val="1"/>
      <w:numFmt w:val="bullet"/>
      <w:lvlText w:val=""/>
      <w:lvlJc w:val="left"/>
      <w:pPr>
        <w:ind w:left="5040" w:hanging="360"/>
      </w:pPr>
      <w:rPr>
        <w:rFonts w:ascii="Symbol" w:hAnsi="Symbol" w:hint="default"/>
      </w:rPr>
    </w:lvl>
    <w:lvl w:ilvl="7" w:tplc="C450D9C0">
      <w:start w:val="1"/>
      <w:numFmt w:val="bullet"/>
      <w:lvlText w:val="o"/>
      <w:lvlJc w:val="left"/>
      <w:pPr>
        <w:ind w:left="5760" w:hanging="360"/>
      </w:pPr>
      <w:rPr>
        <w:rFonts w:ascii="Courier New" w:hAnsi="Courier New" w:hint="default"/>
      </w:rPr>
    </w:lvl>
    <w:lvl w:ilvl="8" w:tplc="4F0AAA02">
      <w:start w:val="1"/>
      <w:numFmt w:val="bullet"/>
      <w:lvlText w:val=""/>
      <w:lvlJc w:val="left"/>
      <w:pPr>
        <w:ind w:left="6480" w:hanging="360"/>
      </w:pPr>
      <w:rPr>
        <w:rFonts w:ascii="Wingdings" w:hAnsi="Wingdings" w:hint="default"/>
      </w:rPr>
    </w:lvl>
  </w:abstractNum>
  <w:num w:numId="1" w16cid:durableId="1889874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16"/>
    <w:rsid w:val="00032634"/>
    <w:rsid w:val="00213A83"/>
    <w:rsid w:val="0033249F"/>
    <w:rsid w:val="003D2DCD"/>
    <w:rsid w:val="005D20A1"/>
    <w:rsid w:val="00817DE2"/>
    <w:rsid w:val="0092213F"/>
    <w:rsid w:val="00A32F88"/>
    <w:rsid w:val="00AA4A42"/>
    <w:rsid w:val="00BE7516"/>
    <w:rsid w:val="00C65B0E"/>
    <w:rsid w:val="00E227FC"/>
    <w:rsid w:val="00EA187F"/>
    <w:rsid w:val="00F27A80"/>
    <w:rsid w:val="00FB41BC"/>
    <w:rsid w:val="16A80EBE"/>
    <w:rsid w:val="37BF091B"/>
    <w:rsid w:val="50703D6A"/>
    <w:rsid w:val="638F9BD2"/>
    <w:rsid w:val="6E49C07B"/>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E06EC"/>
  <w15:chartTrackingRefBased/>
  <w15:docId w15:val="{C5F78B81-ABE8-42ED-9106-4C08C652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75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75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75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75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75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75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5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5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5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5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75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75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75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75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75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5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5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516"/>
    <w:rPr>
      <w:rFonts w:eastAsiaTheme="majorEastAsia" w:cstheme="majorBidi"/>
      <w:color w:val="272727" w:themeColor="text1" w:themeTint="D8"/>
    </w:rPr>
  </w:style>
  <w:style w:type="paragraph" w:styleId="Title">
    <w:name w:val="Title"/>
    <w:basedOn w:val="Normal"/>
    <w:next w:val="Normal"/>
    <w:link w:val="TitleChar"/>
    <w:uiPriority w:val="10"/>
    <w:qFormat/>
    <w:rsid w:val="00BE75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5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5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5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516"/>
    <w:pPr>
      <w:spacing w:before="160"/>
      <w:jc w:val="center"/>
    </w:pPr>
    <w:rPr>
      <w:i/>
      <w:iCs/>
      <w:color w:val="404040" w:themeColor="text1" w:themeTint="BF"/>
    </w:rPr>
  </w:style>
  <w:style w:type="character" w:customStyle="1" w:styleId="QuoteChar">
    <w:name w:val="Quote Char"/>
    <w:basedOn w:val="DefaultParagraphFont"/>
    <w:link w:val="Quote"/>
    <w:uiPriority w:val="29"/>
    <w:rsid w:val="00BE7516"/>
    <w:rPr>
      <w:i/>
      <w:iCs/>
      <w:color w:val="404040" w:themeColor="text1" w:themeTint="BF"/>
    </w:rPr>
  </w:style>
  <w:style w:type="paragraph" w:styleId="ListParagraph">
    <w:name w:val="List Paragraph"/>
    <w:basedOn w:val="Normal"/>
    <w:uiPriority w:val="34"/>
    <w:qFormat/>
    <w:rsid w:val="00BE7516"/>
    <w:pPr>
      <w:ind w:left="720"/>
      <w:contextualSpacing/>
    </w:pPr>
  </w:style>
  <w:style w:type="character" w:styleId="IntenseEmphasis">
    <w:name w:val="Intense Emphasis"/>
    <w:basedOn w:val="DefaultParagraphFont"/>
    <w:uiPriority w:val="21"/>
    <w:qFormat/>
    <w:rsid w:val="00BE7516"/>
    <w:rPr>
      <w:i/>
      <w:iCs/>
      <w:color w:val="0F4761" w:themeColor="accent1" w:themeShade="BF"/>
    </w:rPr>
  </w:style>
  <w:style w:type="paragraph" w:styleId="IntenseQuote">
    <w:name w:val="Intense Quote"/>
    <w:basedOn w:val="Normal"/>
    <w:next w:val="Normal"/>
    <w:link w:val="IntenseQuoteChar"/>
    <w:uiPriority w:val="30"/>
    <w:qFormat/>
    <w:rsid w:val="00BE75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7516"/>
    <w:rPr>
      <w:i/>
      <w:iCs/>
      <w:color w:val="0F4761" w:themeColor="accent1" w:themeShade="BF"/>
    </w:rPr>
  </w:style>
  <w:style w:type="character" w:styleId="IntenseReference">
    <w:name w:val="Intense Reference"/>
    <w:basedOn w:val="DefaultParagraphFont"/>
    <w:uiPriority w:val="32"/>
    <w:qFormat/>
    <w:rsid w:val="00BE7516"/>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568</Words>
  <Characters>3239</Characters>
  <Application>Microsoft Office Word</Application>
  <DocSecurity>4</DocSecurity>
  <Lines>26</Lines>
  <Paragraphs>7</Paragraphs>
  <ScaleCrop>false</ScaleCrop>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King vp.ncr</dc:creator>
  <cp:keywords/>
  <dc:description/>
  <cp:lastModifiedBy>Sandra Griffith-Bonaparte Human Rights</cp:lastModifiedBy>
  <cp:revision>10</cp:revision>
  <dcterms:created xsi:type="dcterms:W3CDTF">2025-11-23T22:27:00Z</dcterms:created>
  <dcterms:modified xsi:type="dcterms:W3CDTF">2025-12-05T14:37:00Z</dcterms:modified>
</cp:coreProperties>
</file>