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1DC1" w14:textId="77777777" w:rsidR="009929C8" w:rsidRDefault="009929C8" w:rsidP="009929C8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19ECF8" wp14:editId="1DA4B7D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094" w14:textId="77777777" w:rsidR="009929C8" w:rsidRDefault="009929C8" w:rsidP="009929C8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02BC8" wp14:editId="368C76BE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9E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145B5094" w14:textId="77777777" w:rsidR="009929C8" w:rsidRDefault="009929C8" w:rsidP="009929C8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02BC8" wp14:editId="368C76BE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499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376"/>
        <w:gridCol w:w="3544"/>
        <w:gridCol w:w="1126"/>
      </w:tblGrid>
      <w:tr w:rsidR="009929C8" w:rsidRPr="005B1599" w14:paraId="06219947" w14:textId="77777777" w:rsidTr="009929C8">
        <w:trPr>
          <w:trHeight w:val="295"/>
        </w:trPr>
        <w:tc>
          <w:tcPr>
            <w:tcW w:w="6046" w:type="dxa"/>
            <w:gridSpan w:val="3"/>
          </w:tcPr>
          <w:p w14:paraId="29E660F0" w14:textId="5FE30005" w:rsidR="009929C8" w:rsidRPr="004348D6" w:rsidRDefault="009929C8" w:rsidP="00A16555">
            <w:pPr>
              <w:pStyle w:val="Title"/>
              <w:ind w:left="0"/>
              <w:jc w:val="center"/>
              <w:rPr>
                <w:color w:val="000099"/>
                <w:lang w:val="en-CA"/>
              </w:rPr>
            </w:pPr>
            <w:r w:rsidRPr="004348D6">
              <w:rPr>
                <w:color w:val="000099"/>
                <w:lang w:val="en-CA"/>
              </w:rPr>
              <w:t>R</w:t>
            </w:r>
            <w:r w:rsidR="004348D6" w:rsidRPr="004348D6">
              <w:rPr>
                <w:color w:val="000099"/>
                <w:lang w:val="en-CA"/>
              </w:rPr>
              <w:t xml:space="preserve">EAL PROPERTY oPS uNIT </w:t>
            </w:r>
            <w:r w:rsidR="000B2E7D" w:rsidRPr="004348D6">
              <w:rPr>
                <w:color w:val="000099"/>
                <w:lang w:val="en-CA"/>
              </w:rPr>
              <w:t xml:space="preserve"> QUÉBEC</w:t>
            </w:r>
          </w:p>
        </w:tc>
      </w:tr>
      <w:tr w:rsidR="009929C8" w:rsidRPr="00303F5E" w14:paraId="4744F671" w14:textId="77777777" w:rsidTr="009929C8">
        <w:trPr>
          <w:trHeight w:val="539"/>
        </w:trPr>
        <w:tc>
          <w:tcPr>
            <w:tcW w:w="1376" w:type="dxa"/>
            <w:vAlign w:val="bottom"/>
          </w:tcPr>
          <w:p w14:paraId="5201F436" w14:textId="77777777" w:rsidR="009929C8" w:rsidRPr="00303F5E" w:rsidRDefault="009929C8" w:rsidP="00A16555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 :</w:t>
            </w:r>
          </w:p>
        </w:tc>
        <w:tc>
          <w:tcPr>
            <w:tcW w:w="3544" w:type="dxa"/>
            <w:vAlign w:val="bottom"/>
          </w:tcPr>
          <w:p w14:paraId="30029708" w14:textId="63E2022B" w:rsidR="009929C8" w:rsidRPr="00303F5E" w:rsidRDefault="004348D6" w:rsidP="00A16555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>May 1 to December 1</w:t>
            </w:r>
            <w:r w:rsidR="009929C8">
              <w:rPr>
                <w:color w:val="000099"/>
              </w:rPr>
              <w:t xml:space="preserve"> </w:t>
            </w:r>
            <w:r w:rsidR="009929C8" w:rsidRPr="00303F5E">
              <w:rPr>
                <w:color w:val="000099"/>
              </w:rPr>
              <w:t>2024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6E68D87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  <w:tr w:rsidR="009929C8" w:rsidRPr="00303F5E" w14:paraId="76981451" w14:textId="77777777" w:rsidTr="009929C8">
        <w:trPr>
          <w:trHeight w:val="539"/>
        </w:trPr>
        <w:tc>
          <w:tcPr>
            <w:tcW w:w="1376" w:type="dxa"/>
            <w:vAlign w:val="bottom"/>
          </w:tcPr>
          <w:p w14:paraId="3BAF234B" w14:textId="747C5DE8" w:rsidR="009929C8" w:rsidRPr="00303F5E" w:rsidRDefault="004348D6" w:rsidP="00A16555">
            <w:pPr>
              <w:pStyle w:val="Informationssurlarunion"/>
              <w:rPr>
                <w:color w:val="000099"/>
              </w:rPr>
            </w:pPr>
            <w:r>
              <w:rPr>
                <w:color w:val="000099"/>
                <w:lang w:bidi="fr-CA"/>
              </w:rPr>
              <w:t>DVP</w:t>
            </w:r>
            <w:r w:rsidR="009929C8" w:rsidRPr="00303F5E">
              <w:rPr>
                <w:color w:val="000099"/>
                <w:lang w:bidi="fr-CA"/>
              </w:rPr>
              <w:t> :</w:t>
            </w:r>
          </w:p>
        </w:tc>
        <w:tc>
          <w:tcPr>
            <w:tcW w:w="3544" w:type="dxa"/>
            <w:vAlign w:val="bottom"/>
          </w:tcPr>
          <w:p w14:paraId="48E9D0B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  <w:r w:rsidRPr="00303F5E">
              <w:rPr>
                <w:color w:val="000099"/>
              </w:rPr>
              <w:t>Johanne Rouillard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4CF88F23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</w:tbl>
    <w:p w14:paraId="43506920" w14:textId="77777777" w:rsidR="009929C8" w:rsidRDefault="009929C8" w:rsidP="009929C8"/>
    <w:p w14:paraId="7CDBFA2E" w14:textId="596E7823" w:rsidR="00876A84" w:rsidRDefault="004348D6" w:rsidP="00876A84">
      <w:pPr>
        <w:rPr>
          <w:u w:val="single"/>
        </w:rPr>
      </w:pPr>
      <w:r>
        <w:rPr>
          <w:u w:val="single"/>
        </w:rPr>
        <w:t>LMRC</w:t>
      </w:r>
      <w:r w:rsidR="009929C8" w:rsidRPr="009929C8">
        <w:rPr>
          <w:u w:val="single"/>
        </w:rPr>
        <w:t xml:space="preserve"> </w:t>
      </w:r>
      <w:r>
        <w:rPr>
          <w:u w:val="single"/>
        </w:rPr>
        <w:t>N</w:t>
      </w:r>
      <w:r w:rsidR="009929C8" w:rsidRPr="009929C8">
        <w:rPr>
          <w:u w:val="single"/>
        </w:rPr>
        <w:t>ovemb</w:t>
      </w:r>
      <w:r>
        <w:rPr>
          <w:u w:val="single"/>
        </w:rPr>
        <w:t>er 27</w:t>
      </w:r>
      <w:r w:rsidR="009929C8" w:rsidRPr="009929C8">
        <w:rPr>
          <w:u w:val="single"/>
        </w:rPr>
        <w:t xml:space="preserve"> 2024</w:t>
      </w:r>
    </w:p>
    <w:p w14:paraId="79D0252E" w14:textId="141E1043" w:rsidR="004348D6" w:rsidRPr="004348D6" w:rsidRDefault="004348D6" w:rsidP="004348D6">
      <w:pPr>
        <w:rPr>
          <w:lang w:val="en-CA"/>
        </w:rPr>
      </w:pPr>
      <w:r>
        <w:rPr>
          <w:lang w:val="en-CA"/>
        </w:rPr>
        <w:t>A p</w:t>
      </w:r>
      <w:r w:rsidRPr="004348D6">
        <w:rPr>
          <w:lang w:val="en-CA"/>
        </w:rPr>
        <w:t>rofessional development took place on November 26 prior to the LMRC. TRIMA training was chosen in collaboration with the union. It is a psychometric tool to learn how to collaborate and communicate with our colleagues according to our psycho-social, work or leadership skills.</w:t>
      </w:r>
    </w:p>
    <w:p w14:paraId="412F438E" w14:textId="52838CFE" w:rsidR="004348D6" w:rsidRDefault="004348D6" w:rsidP="004348D6">
      <w:pPr>
        <w:pStyle w:val="ListParagraph"/>
        <w:numPr>
          <w:ilvl w:val="0"/>
          <w:numId w:val="5"/>
        </w:numPr>
        <w:rPr>
          <w:lang w:val="en-CA"/>
        </w:rPr>
      </w:pPr>
      <w:r w:rsidRPr="004348D6">
        <w:rPr>
          <w:lang w:val="en-CA"/>
        </w:rPr>
        <w:t>LMRC topics:</w:t>
      </w:r>
      <w:r w:rsidRPr="004348D6">
        <w:rPr>
          <w:lang w:val="en-CA"/>
        </w:rPr>
        <w:tab/>
      </w:r>
    </w:p>
    <w:p w14:paraId="2CF232EA" w14:textId="77777777" w:rsidR="004348D6" w:rsidRPr="004348D6" w:rsidRDefault="004348D6" w:rsidP="004348D6">
      <w:pPr>
        <w:pStyle w:val="ListParagraph"/>
        <w:ind w:left="1440"/>
        <w:rPr>
          <w:lang w:val="en-CA"/>
        </w:rPr>
      </w:pPr>
    </w:p>
    <w:p w14:paraId="4D3F8384" w14:textId="71480A59" w:rsidR="004348D6" w:rsidRPr="004348D6" w:rsidRDefault="004348D6" w:rsidP="004348D6">
      <w:pPr>
        <w:pStyle w:val="ListParagraph"/>
        <w:numPr>
          <w:ilvl w:val="0"/>
          <w:numId w:val="6"/>
        </w:numPr>
        <w:rPr>
          <w:lang w:val="en-CA"/>
        </w:rPr>
      </w:pPr>
      <w:r w:rsidRPr="004348D6">
        <w:rPr>
          <w:lang w:val="en-CA"/>
        </w:rPr>
        <w:t>Financial situation for building maintenance should improve in the next fiscal year.</w:t>
      </w:r>
    </w:p>
    <w:p w14:paraId="18A52C22" w14:textId="24A46A02" w:rsidR="004348D6" w:rsidRPr="004348D6" w:rsidRDefault="004348D6" w:rsidP="004348D6">
      <w:pPr>
        <w:pStyle w:val="ListParagraph"/>
        <w:numPr>
          <w:ilvl w:val="0"/>
          <w:numId w:val="6"/>
        </w:numPr>
        <w:rPr>
          <w:lang w:val="en-CA"/>
        </w:rPr>
      </w:pPr>
      <w:r w:rsidRPr="004348D6">
        <w:rPr>
          <w:lang w:val="en-CA"/>
        </w:rPr>
        <w:t xml:space="preserve">Very tight budget for </w:t>
      </w:r>
      <w:r>
        <w:rPr>
          <w:lang w:val="en-CA"/>
        </w:rPr>
        <w:t>SWE</w:t>
      </w:r>
      <w:r w:rsidRPr="004348D6">
        <w:rPr>
          <w:lang w:val="en-CA"/>
        </w:rPr>
        <w:t>. The union has asked to receive organization charts with vacant positions. Several questions on specific positions.</w:t>
      </w:r>
    </w:p>
    <w:p w14:paraId="139ACB47" w14:textId="0725C6A8" w:rsidR="004348D6" w:rsidRPr="004348D6" w:rsidRDefault="004348D6" w:rsidP="004348D6">
      <w:pPr>
        <w:pStyle w:val="ListParagraph"/>
        <w:numPr>
          <w:ilvl w:val="0"/>
          <w:numId w:val="6"/>
        </w:numPr>
        <w:rPr>
          <w:lang w:val="en-CA"/>
        </w:rPr>
      </w:pPr>
      <w:r w:rsidRPr="004348D6">
        <w:rPr>
          <w:lang w:val="en-CA"/>
        </w:rPr>
        <w:t xml:space="preserve">Restructuring of the purchasing unit, which should be merged with the engineering section. The Cmdt wants to integrate artificial intelligence </w:t>
      </w:r>
      <w:r>
        <w:rPr>
          <w:lang w:val="en-CA"/>
        </w:rPr>
        <w:t xml:space="preserve">(AI) </w:t>
      </w:r>
      <w:r w:rsidRPr="004348D6">
        <w:rPr>
          <w:lang w:val="en-CA"/>
        </w:rPr>
        <w:t>to respond faster to requests. He wants to integrate AI so that contract agents can produce more.</w:t>
      </w:r>
    </w:p>
    <w:p w14:paraId="34751BBD" w14:textId="051759D7" w:rsidR="004348D6" w:rsidRPr="004348D6" w:rsidRDefault="004348D6" w:rsidP="004348D6">
      <w:pPr>
        <w:pStyle w:val="ListParagraph"/>
        <w:numPr>
          <w:ilvl w:val="0"/>
          <w:numId w:val="6"/>
        </w:numPr>
        <w:rPr>
          <w:lang w:val="en-CA"/>
        </w:rPr>
      </w:pPr>
      <w:r w:rsidRPr="004348D6">
        <w:rPr>
          <w:lang w:val="en-CA"/>
        </w:rPr>
        <w:t>The employer relies on its hono</w:t>
      </w:r>
      <w:r>
        <w:rPr>
          <w:lang w:val="en-CA"/>
        </w:rPr>
        <w:t>u</w:t>
      </w:r>
      <w:r w:rsidRPr="004348D6">
        <w:rPr>
          <w:lang w:val="en-CA"/>
        </w:rPr>
        <w:t>r and reward system to motivate employees.</w:t>
      </w:r>
    </w:p>
    <w:p w14:paraId="0BB5FD4D" w14:textId="74631931" w:rsidR="004348D6" w:rsidRPr="004348D6" w:rsidRDefault="004348D6" w:rsidP="004348D6">
      <w:pPr>
        <w:pStyle w:val="ListParagraph"/>
        <w:numPr>
          <w:ilvl w:val="0"/>
          <w:numId w:val="6"/>
        </w:numPr>
        <w:rPr>
          <w:lang w:val="en-CA"/>
        </w:rPr>
      </w:pPr>
      <w:r w:rsidRPr="004348D6">
        <w:rPr>
          <w:lang w:val="en-CA"/>
        </w:rPr>
        <w:t xml:space="preserve">A discussion took place concerning the fragmentary order on overtime and </w:t>
      </w:r>
      <w:r w:rsidR="005B1599">
        <w:rPr>
          <w:lang w:val="en-CA"/>
        </w:rPr>
        <w:t>stand by pay</w:t>
      </w:r>
      <w:r w:rsidRPr="004348D6">
        <w:rPr>
          <w:lang w:val="en-CA"/>
        </w:rPr>
        <w:t>.</w:t>
      </w:r>
    </w:p>
    <w:p w14:paraId="087F9140" w14:textId="3342E0D7" w:rsidR="004348D6" w:rsidRPr="004348D6" w:rsidRDefault="004348D6" w:rsidP="004348D6">
      <w:pPr>
        <w:pStyle w:val="ListParagraph"/>
        <w:numPr>
          <w:ilvl w:val="0"/>
          <w:numId w:val="6"/>
        </w:numPr>
      </w:pPr>
      <w:r w:rsidRPr="004348D6">
        <w:rPr>
          <w:lang w:val="en-CA"/>
        </w:rPr>
        <w:t xml:space="preserve">The minutes have not yet been drawn up. I'm not yet fully familiar with the unit's operations and structure. </w:t>
      </w:r>
      <w:r w:rsidRPr="004348D6">
        <w:t>The Cmdt is very cooperative with the union.</w:t>
      </w:r>
    </w:p>
    <w:sectPr w:rsidR="004348D6" w:rsidRPr="004348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13249"/>
    <w:multiLevelType w:val="hybridMultilevel"/>
    <w:tmpl w:val="CF8E1724"/>
    <w:lvl w:ilvl="0" w:tplc="0C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3C7E5D43"/>
    <w:multiLevelType w:val="hybridMultilevel"/>
    <w:tmpl w:val="2F52C0CE"/>
    <w:lvl w:ilvl="0" w:tplc="0C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F9A2F89"/>
    <w:multiLevelType w:val="hybridMultilevel"/>
    <w:tmpl w:val="C6B6A6CC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182238"/>
    <w:multiLevelType w:val="hybridMultilevel"/>
    <w:tmpl w:val="929002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D265F7"/>
    <w:multiLevelType w:val="hybridMultilevel"/>
    <w:tmpl w:val="E42E65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814120">
    <w:abstractNumId w:val="5"/>
  </w:num>
  <w:num w:numId="2" w16cid:durableId="1218587528">
    <w:abstractNumId w:val="1"/>
  </w:num>
  <w:num w:numId="3" w16cid:durableId="630600370">
    <w:abstractNumId w:val="0"/>
  </w:num>
  <w:num w:numId="4" w16cid:durableId="1184053172">
    <w:abstractNumId w:val="2"/>
  </w:num>
  <w:num w:numId="5" w16cid:durableId="905148456">
    <w:abstractNumId w:val="4"/>
  </w:num>
  <w:num w:numId="6" w16cid:durableId="58249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8"/>
    <w:rsid w:val="00010284"/>
    <w:rsid w:val="00035928"/>
    <w:rsid w:val="000B2E7D"/>
    <w:rsid w:val="00355E0F"/>
    <w:rsid w:val="00371513"/>
    <w:rsid w:val="004348D6"/>
    <w:rsid w:val="005B1599"/>
    <w:rsid w:val="007A4C7F"/>
    <w:rsid w:val="007C6DE2"/>
    <w:rsid w:val="00854498"/>
    <w:rsid w:val="0086643C"/>
    <w:rsid w:val="00876A84"/>
    <w:rsid w:val="009929C8"/>
    <w:rsid w:val="00CD5168"/>
    <w:rsid w:val="00DE5AEB"/>
    <w:rsid w:val="00E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F43"/>
  <w15:chartTrackingRefBased/>
  <w15:docId w15:val="{2AB94503-2C06-4F94-AF9E-EE8131D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8"/>
    <w:pPr>
      <w:spacing w:before="40" w:after="360" w:line="240" w:lineRule="auto"/>
      <w:ind w:left="720" w:right="720"/>
    </w:pPr>
    <w:rPr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8"/>
    <w:qFormat/>
    <w:rsid w:val="009929C8"/>
    <w:pPr>
      <w:spacing w:before="840" w:after="40"/>
      <w:outlineLvl w:val="0"/>
    </w:pPr>
    <w:rPr>
      <w:rFonts w:asciiTheme="majorHAnsi" w:hAnsiTheme="majorHAns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929C8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  <w14:ligatures w14:val="none"/>
    </w:rPr>
  </w:style>
  <w:style w:type="paragraph" w:customStyle="1" w:styleId="Coordonnes">
    <w:name w:val="Coordonnées"/>
    <w:basedOn w:val="Normal"/>
    <w:uiPriority w:val="1"/>
    <w:qFormat/>
    <w:rsid w:val="009929C8"/>
    <w:pPr>
      <w:spacing w:before="0" w:after="0"/>
      <w:ind w:left="0" w:right="0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929C8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C8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  <w14:ligatures w14:val="none"/>
    </w:rPr>
  </w:style>
  <w:style w:type="paragraph" w:customStyle="1" w:styleId="Informationssurlarunion">
    <w:name w:val="Informations sur la réunion"/>
    <w:basedOn w:val="Normal"/>
    <w:qFormat/>
    <w:rsid w:val="009929C8"/>
    <w:pPr>
      <w:spacing w:after="0"/>
      <w:ind w:right="0"/>
    </w:pPr>
    <w:rPr>
      <w:color w:val="FFFFFF" w:themeColor="background1"/>
    </w:rPr>
  </w:style>
  <w:style w:type="paragraph" w:styleId="ListParagraph">
    <w:name w:val="List Paragraph"/>
    <w:basedOn w:val="Normal"/>
    <w:uiPriority w:val="34"/>
    <w:rsid w:val="009929C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Un développement professionnel a eu lieu le 26 novembre avant le CRSP. La format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10507@unde.org</dc:creator>
  <cp:keywords/>
  <dc:description/>
  <cp:lastModifiedBy>Sandra Mombourquette</cp:lastModifiedBy>
  <cp:revision>4</cp:revision>
  <dcterms:created xsi:type="dcterms:W3CDTF">2024-12-03T15:21:00Z</dcterms:created>
  <dcterms:modified xsi:type="dcterms:W3CDTF">2024-12-10T19:19:00Z</dcterms:modified>
</cp:coreProperties>
</file>