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557EE" w14:textId="77777777" w:rsidR="00724D28" w:rsidRPr="00724D28" w:rsidRDefault="00724D28" w:rsidP="00724D28">
      <w:pPr>
        <w:jc w:val="center"/>
        <w:rPr>
          <w:b/>
          <w:lang w:val="fr-CA"/>
        </w:rPr>
      </w:pPr>
      <w:r w:rsidRPr="00724D28">
        <w:rPr>
          <w:b/>
          <w:lang w:val="fr-CA"/>
        </w:rPr>
        <w:t xml:space="preserve">ADM Infrastructure and </w:t>
      </w:r>
      <w:proofErr w:type="spellStart"/>
      <w:r w:rsidRPr="00724D28">
        <w:rPr>
          <w:b/>
          <w:lang w:val="fr-CA"/>
        </w:rPr>
        <w:t>Environment</w:t>
      </w:r>
      <w:proofErr w:type="spellEnd"/>
      <w:r w:rsidRPr="00724D28">
        <w:rPr>
          <w:b/>
          <w:lang w:val="fr-CA"/>
        </w:rPr>
        <w:t xml:space="preserve"> UMCC</w:t>
      </w:r>
    </w:p>
    <w:p w14:paraId="09DB4238" w14:textId="77777777" w:rsidR="00724D28" w:rsidRPr="00724D28" w:rsidRDefault="00724D28" w:rsidP="00724D28">
      <w:pPr>
        <w:jc w:val="center"/>
        <w:rPr>
          <w:b/>
          <w:lang w:val="fr-CA"/>
        </w:rPr>
      </w:pPr>
      <w:r w:rsidRPr="00724D28">
        <w:rPr>
          <w:b/>
          <w:lang w:val="fr-CA"/>
        </w:rPr>
        <w:t>ADM(IE) UMCC</w:t>
      </w:r>
    </w:p>
    <w:p w14:paraId="3B882274" w14:textId="77777777" w:rsidR="00724D28" w:rsidRPr="007325CD" w:rsidRDefault="00724D28" w:rsidP="00724D28">
      <w:pPr>
        <w:pStyle w:val="Default"/>
        <w:jc w:val="center"/>
        <w:rPr>
          <w:rFonts w:ascii="Times New Roman" w:eastAsia="Times New Roman" w:hAnsi="Times New Roman" w:cs="Times New Roman"/>
          <w:b/>
          <w:bCs/>
          <w:sz w:val="24"/>
          <w:szCs w:val="24"/>
        </w:rPr>
      </w:pPr>
      <w:r w:rsidRPr="007325CD">
        <w:rPr>
          <w:rFonts w:ascii="Times New Roman" w:hAnsi="Times New Roman"/>
          <w:b/>
          <w:bCs/>
          <w:sz w:val="24"/>
          <w:szCs w:val="24"/>
        </w:rPr>
        <w:t>Report for the Nat</w:t>
      </w:r>
      <w:r>
        <w:rPr>
          <w:rFonts w:ascii="Times New Roman" w:hAnsi="Times New Roman"/>
          <w:b/>
          <w:bCs/>
          <w:sz w:val="24"/>
          <w:szCs w:val="24"/>
        </w:rPr>
        <w:t>ional Executive meeting Nov 2022</w:t>
      </w:r>
    </w:p>
    <w:p w14:paraId="709E9A3F" w14:textId="77777777" w:rsidR="00724D28" w:rsidRDefault="00724D28" w:rsidP="00724D28">
      <w:pPr>
        <w:rPr>
          <w:b/>
        </w:rPr>
      </w:pPr>
    </w:p>
    <w:p w14:paraId="0F90687D" w14:textId="77777777" w:rsidR="00724D28" w:rsidRDefault="00724D28" w:rsidP="00724D28">
      <w:r>
        <w:t>The last meeting of the ADM(IE) was held on 20 May 22.</w:t>
      </w:r>
    </w:p>
    <w:p w14:paraId="320531CB" w14:textId="77777777" w:rsidR="00724D28" w:rsidRDefault="00724D28" w:rsidP="00724D28">
      <w:r>
        <w:t>ADM(IE) is Rob Chambers.</w:t>
      </w:r>
    </w:p>
    <w:p w14:paraId="0C53FCEF" w14:textId="77777777" w:rsidR="00724D28" w:rsidRPr="00B17841" w:rsidRDefault="00B17841" w:rsidP="00724D28">
      <w:pPr>
        <w:rPr>
          <w:sz w:val="32"/>
          <w:szCs w:val="32"/>
        </w:rPr>
      </w:pPr>
      <w:proofErr w:type="spellStart"/>
      <w:r>
        <w:t>MGen</w:t>
      </w:r>
      <w:proofErr w:type="spellEnd"/>
      <w:r>
        <w:t xml:space="preserve"> Horgan has now retired and </w:t>
      </w:r>
      <w:proofErr w:type="spellStart"/>
      <w:r>
        <w:t>MGen</w:t>
      </w:r>
      <w:proofErr w:type="spellEnd"/>
      <w:r>
        <w:t xml:space="preserve"> Martin Gros-Jean COS(IE) is his replacement who we will meet on 01 Dec 22.</w:t>
      </w:r>
      <w:r>
        <w:rPr>
          <w:sz w:val="32"/>
          <w:szCs w:val="32"/>
        </w:rPr>
        <w:t xml:space="preserve">  </w:t>
      </w:r>
      <w:r w:rsidR="00724D28">
        <w:t xml:space="preserve">Col Henley is Comd for RP Ops </w:t>
      </w:r>
      <w:proofErr w:type="spellStart"/>
      <w:r w:rsidR="00724D28">
        <w:t>Gp</w:t>
      </w:r>
      <w:proofErr w:type="spellEnd"/>
    </w:p>
    <w:p w14:paraId="0D1B1B8B" w14:textId="77777777" w:rsidR="00724D28" w:rsidRDefault="00724D28" w:rsidP="00724D28"/>
    <w:p w14:paraId="63FC583E" w14:textId="77777777" w:rsidR="003B4855" w:rsidRPr="00B17841" w:rsidRDefault="00724D28" w:rsidP="003B4855">
      <w:pPr>
        <w:rPr>
          <w:rFonts w:cs="Times New Roman"/>
          <w:szCs w:val="24"/>
        </w:rPr>
      </w:pPr>
      <w:r w:rsidRPr="00B17841">
        <w:rPr>
          <w:rFonts w:cs="Times New Roman"/>
          <w:b/>
          <w:szCs w:val="24"/>
        </w:rPr>
        <w:t xml:space="preserve">NORAD Modernization and Continental </w:t>
      </w:r>
      <w:proofErr w:type="spellStart"/>
      <w:r w:rsidRPr="00B17841">
        <w:rPr>
          <w:rFonts w:cs="Times New Roman"/>
          <w:b/>
          <w:szCs w:val="24"/>
        </w:rPr>
        <w:t>Defence</w:t>
      </w:r>
      <w:proofErr w:type="spellEnd"/>
      <w:r w:rsidRPr="00B17841">
        <w:rPr>
          <w:rFonts w:cs="Times New Roman"/>
          <w:szCs w:val="24"/>
        </w:rPr>
        <w:t xml:space="preserve"> remains </w:t>
      </w:r>
      <w:r w:rsidRPr="00B17841">
        <w:rPr>
          <w:rFonts w:cs="Times New Roman"/>
          <w:color w:val="000000"/>
          <w:szCs w:val="24"/>
          <w:lang w:val="en-CA"/>
        </w:rPr>
        <w:t>forefront</w:t>
      </w:r>
      <w:r w:rsidRPr="00B17841">
        <w:rPr>
          <w:rFonts w:cs="Times New Roman"/>
          <w:szCs w:val="24"/>
          <w:lang w:val="en-CA"/>
        </w:rPr>
        <w:t xml:space="preserve"> within the department.  Government of Canada will decide on options and expected a percentage of the work associated with this will fall to ADM(IE).</w:t>
      </w:r>
      <w:r w:rsidR="003B4855" w:rsidRPr="00B17841">
        <w:rPr>
          <w:rFonts w:cs="Times New Roman"/>
          <w:szCs w:val="24"/>
          <w:lang w:val="en-CA"/>
        </w:rPr>
        <w:t xml:space="preserve">  </w:t>
      </w:r>
      <w:r w:rsidR="003B4855" w:rsidRPr="00B17841">
        <w:rPr>
          <w:rFonts w:cs="Times New Roman"/>
          <w:szCs w:val="24"/>
        </w:rPr>
        <w:t xml:space="preserve">NORAD modernization and continental </w:t>
      </w:r>
      <w:proofErr w:type="spellStart"/>
      <w:r w:rsidR="003B4855" w:rsidRPr="00B17841">
        <w:rPr>
          <w:rFonts w:cs="Times New Roman"/>
          <w:szCs w:val="24"/>
        </w:rPr>
        <w:t>defence</w:t>
      </w:r>
      <w:proofErr w:type="spellEnd"/>
      <w:r w:rsidR="003B4855" w:rsidRPr="00B17841">
        <w:rPr>
          <w:rFonts w:cs="Times New Roman"/>
          <w:szCs w:val="24"/>
        </w:rPr>
        <w:t xml:space="preserve"> are key aspects.  ADM(IE) will play a significant role as there will be Indigenous, environment, and infrastructure aspects.  Development of potential options continues.</w:t>
      </w:r>
    </w:p>
    <w:p w14:paraId="62D23DEE" w14:textId="77777777" w:rsidR="00724D28" w:rsidRPr="00B17841" w:rsidRDefault="00724D28" w:rsidP="00724D28">
      <w:pPr>
        <w:pStyle w:val="Default"/>
        <w:rPr>
          <w:rFonts w:ascii="Times New Roman" w:hAnsi="Times New Roman" w:cs="Times New Roman"/>
          <w:sz w:val="24"/>
          <w:szCs w:val="24"/>
          <w:lang w:val="en-CA"/>
        </w:rPr>
      </w:pPr>
    </w:p>
    <w:p w14:paraId="369EB385" w14:textId="77777777" w:rsidR="00724D28" w:rsidRPr="00B17841" w:rsidRDefault="00724D28" w:rsidP="00724D28">
      <w:pPr>
        <w:pStyle w:val="Default"/>
        <w:rPr>
          <w:rFonts w:ascii="Times New Roman" w:eastAsiaTheme="minorHAnsi" w:hAnsi="Times New Roman" w:cs="Times New Roman"/>
          <w:sz w:val="24"/>
          <w:szCs w:val="24"/>
          <w:bdr w:val="none" w:sz="0" w:space="0" w:color="auto"/>
          <w:lang w:eastAsia="en-US"/>
        </w:rPr>
      </w:pPr>
      <w:r w:rsidRPr="00B17841">
        <w:rPr>
          <w:rFonts w:ascii="Times New Roman" w:hAnsi="Times New Roman" w:cs="Times New Roman"/>
          <w:b/>
          <w:sz w:val="24"/>
          <w:szCs w:val="24"/>
          <w:lang w:val="en-CA"/>
        </w:rPr>
        <w:t>Strategic Review</w:t>
      </w:r>
      <w:r w:rsidRPr="00B17841">
        <w:rPr>
          <w:rFonts w:ascii="Times New Roman" w:hAnsi="Times New Roman" w:cs="Times New Roman"/>
          <w:sz w:val="24"/>
          <w:szCs w:val="24"/>
          <w:lang w:val="en-CA"/>
        </w:rPr>
        <w:t xml:space="preserve"> is taking place in the NCR to consolidate the office footprint </w:t>
      </w:r>
      <w:proofErr w:type="gramStart"/>
      <w:r w:rsidRPr="00B17841">
        <w:rPr>
          <w:rFonts w:ascii="Times New Roman" w:hAnsi="Times New Roman" w:cs="Times New Roman"/>
          <w:sz w:val="24"/>
          <w:szCs w:val="24"/>
          <w:lang w:val="en-CA"/>
        </w:rPr>
        <w:t>as a result of</w:t>
      </w:r>
      <w:proofErr w:type="gramEnd"/>
      <w:r w:rsidRPr="00B17841">
        <w:rPr>
          <w:rFonts w:ascii="Times New Roman" w:hAnsi="Times New Roman" w:cs="Times New Roman"/>
          <w:sz w:val="24"/>
          <w:szCs w:val="24"/>
          <w:lang w:val="en-CA"/>
        </w:rPr>
        <w:t xml:space="preserve"> hybrid work environment.  </w:t>
      </w:r>
    </w:p>
    <w:p w14:paraId="0159C9EA" w14:textId="77777777" w:rsidR="00E4387D" w:rsidRPr="00B17841" w:rsidRDefault="00E4387D">
      <w:pPr>
        <w:rPr>
          <w:rFonts w:cs="Times New Roman"/>
          <w:szCs w:val="24"/>
        </w:rPr>
      </w:pPr>
    </w:p>
    <w:p w14:paraId="6CA3CC41" w14:textId="77777777" w:rsidR="00724D28" w:rsidRPr="00B17841" w:rsidRDefault="00724D28">
      <w:pPr>
        <w:rPr>
          <w:rFonts w:cs="Times New Roman"/>
          <w:szCs w:val="24"/>
        </w:rPr>
      </w:pPr>
      <w:r w:rsidRPr="00B17841">
        <w:rPr>
          <w:rFonts w:cs="Times New Roman"/>
          <w:b/>
          <w:szCs w:val="24"/>
        </w:rPr>
        <w:t>Terms of Reference</w:t>
      </w:r>
      <w:r w:rsidRPr="00B17841">
        <w:rPr>
          <w:rFonts w:cs="Times New Roman"/>
          <w:szCs w:val="24"/>
        </w:rPr>
        <w:t xml:space="preserve"> submitted and reviewed for next meeting.</w:t>
      </w:r>
    </w:p>
    <w:p w14:paraId="62DFC6EF" w14:textId="77777777" w:rsidR="00724D28" w:rsidRPr="00B17841" w:rsidRDefault="00724D28">
      <w:pPr>
        <w:rPr>
          <w:rFonts w:cs="Times New Roman"/>
          <w:szCs w:val="24"/>
        </w:rPr>
      </w:pPr>
    </w:p>
    <w:p w14:paraId="3DDFA4CD" w14:textId="77777777" w:rsidR="003B4855" w:rsidRPr="00B17841" w:rsidRDefault="003B4855">
      <w:pPr>
        <w:rPr>
          <w:rFonts w:cs="Times New Roman"/>
          <w:b/>
          <w:szCs w:val="24"/>
        </w:rPr>
      </w:pPr>
      <w:r w:rsidRPr="00B17841">
        <w:rPr>
          <w:rFonts w:cs="Times New Roman"/>
          <w:b/>
          <w:szCs w:val="24"/>
        </w:rPr>
        <w:t>Staffing Summary:</w:t>
      </w:r>
    </w:p>
    <w:p w14:paraId="47C22E7B" w14:textId="77777777" w:rsidR="00724D28" w:rsidRPr="00B17841" w:rsidRDefault="003B4855" w:rsidP="003B4855">
      <w:pPr>
        <w:rPr>
          <w:rFonts w:cs="Times New Roman"/>
          <w:szCs w:val="24"/>
        </w:rPr>
      </w:pPr>
      <w:r w:rsidRPr="00B17841">
        <w:rPr>
          <w:rFonts w:cs="Times New Roman"/>
          <w:szCs w:val="24"/>
        </w:rPr>
        <w:t xml:space="preserve">Additional SWE for 21/22 was not received. Vacant positions-certain positions were transferred to IE without funding during RP Centralization.  </w:t>
      </w:r>
      <w:r w:rsidR="00724D28" w:rsidRPr="00B17841">
        <w:rPr>
          <w:rFonts w:cs="Times New Roman"/>
          <w:color w:val="000000"/>
          <w:szCs w:val="24"/>
          <w:lang w:val="en-CA"/>
        </w:rPr>
        <w:t>There are currently 221 active or planned staffing acti</w:t>
      </w:r>
      <w:r w:rsidRPr="00B17841">
        <w:rPr>
          <w:rFonts w:cs="Times New Roman"/>
          <w:color w:val="000000"/>
          <w:szCs w:val="24"/>
          <w:lang w:val="en-CA"/>
        </w:rPr>
        <w:t>ons taking place within ADM(IE).</w:t>
      </w:r>
    </w:p>
    <w:p w14:paraId="7F7DEEA2" w14:textId="77777777" w:rsidR="00724D28" w:rsidRPr="00B17841" w:rsidRDefault="00724D28">
      <w:pPr>
        <w:rPr>
          <w:rFonts w:cs="Times New Roman"/>
          <w:szCs w:val="24"/>
          <w:lang w:val="en-CA"/>
        </w:rPr>
      </w:pPr>
    </w:p>
    <w:p w14:paraId="1D38C7C5" w14:textId="77777777" w:rsidR="003B4855" w:rsidRPr="00B17841" w:rsidRDefault="00B17841" w:rsidP="003B4855">
      <w:pPr>
        <w:autoSpaceDE w:val="0"/>
        <w:autoSpaceDN w:val="0"/>
        <w:adjustRightInd w:val="0"/>
        <w:rPr>
          <w:rFonts w:cs="Times New Roman"/>
          <w:color w:val="000000"/>
          <w:szCs w:val="24"/>
          <w:lang w:val="en-CA"/>
        </w:rPr>
      </w:pPr>
      <w:r>
        <w:rPr>
          <w:rFonts w:cs="Times New Roman"/>
          <w:b/>
          <w:bCs/>
          <w:color w:val="000000"/>
          <w:szCs w:val="24"/>
          <w:lang w:val="en-CA"/>
        </w:rPr>
        <w:t>Standby Pay:</w:t>
      </w:r>
      <w:r w:rsidR="003B4855" w:rsidRPr="00B17841">
        <w:rPr>
          <w:rFonts w:cs="Times New Roman"/>
          <w:b/>
          <w:bCs/>
          <w:color w:val="000000"/>
          <w:szCs w:val="24"/>
          <w:lang w:val="en-CA"/>
        </w:rPr>
        <w:t xml:space="preserve"> </w:t>
      </w:r>
      <w:r w:rsidR="003B4855" w:rsidRPr="00B17841">
        <w:rPr>
          <w:rFonts w:cs="Times New Roman"/>
          <w:color w:val="000000"/>
          <w:szCs w:val="24"/>
          <w:lang w:val="en-CA"/>
        </w:rPr>
        <w:t xml:space="preserve">CF RP Ops </w:t>
      </w:r>
      <w:proofErr w:type="spellStart"/>
      <w:r w:rsidR="003B4855" w:rsidRPr="00B17841">
        <w:rPr>
          <w:rFonts w:cs="Times New Roman"/>
          <w:color w:val="000000"/>
          <w:szCs w:val="24"/>
          <w:lang w:val="en-CA"/>
        </w:rPr>
        <w:t>Gp</w:t>
      </w:r>
      <w:proofErr w:type="spellEnd"/>
      <w:r w:rsidR="003B4855" w:rsidRPr="00B17841">
        <w:rPr>
          <w:rFonts w:cs="Times New Roman"/>
          <w:color w:val="000000"/>
          <w:szCs w:val="24"/>
          <w:lang w:val="en-CA"/>
        </w:rPr>
        <w:t xml:space="preserve"> is experiencing a pressure of $10M in SWE and stand-by pay is adding to that pressure and slows down staffing. While attrition will help alleviate the pressure, it certainly will not eliminate it. In addition to this, there is concern that using military members to fill s</w:t>
      </w:r>
      <w:r w:rsidRPr="00B17841">
        <w:rPr>
          <w:rFonts w:cs="Times New Roman"/>
          <w:color w:val="000000"/>
          <w:szCs w:val="24"/>
          <w:lang w:val="en-CA"/>
        </w:rPr>
        <w:t xml:space="preserve">tand-by positions causes </w:t>
      </w:r>
      <w:proofErr w:type="gramStart"/>
      <w:r w:rsidRPr="00B17841">
        <w:rPr>
          <w:rFonts w:cs="Times New Roman"/>
          <w:color w:val="000000"/>
          <w:szCs w:val="24"/>
          <w:lang w:val="en-CA"/>
        </w:rPr>
        <w:t>an</w:t>
      </w:r>
      <w:proofErr w:type="gramEnd"/>
      <w:r w:rsidRPr="00B17841">
        <w:rPr>
          <w:rFonts w:cs="Times New Roman"/>
          <w:color w:val="000000"/>
          <w:szCs w:val="24"/>
          <w:lang w:val="en-CA"/>
        </w:rPr>
        <w:t xml:space="preserve"> us verse t</w:t>
      </w:r>
      <w:r w:rsidR="003B4855" w:rsidRPr="00B17841">
        <w:rPr>
          <w:rFonts w:cs="Times New Roman"/>
          <w:color w:val="000000"/>
          <w:szCs w:val="24"/>
          <w:lang w:val="en-CA"/>
        </w:rPr>
        <w:t xml:space="preserve">hem situation so properly communicating the situation is important as a next step. </w:t>
      </w:r>
    </w:p>
    <w:p w14:paraId="2654A16A" w14:textId="77777777" w:rsidR="003B4855" w:rsidRPr="00B17841" w:rsidRDefault="003B4855">
      <w:pPr>
        <w:rPr>
          <w:rFonts w:cs="Times New Roman"/>
          <w:szCs w:val="24"/>
          <w:lang w:val="en-CA"/>
        </w:rPr>
      </w:pPr>
    </w:p>
    <w:p w14:paraId="17C138FA" w14:textId="77777777" w:rsidR="003B4855" w:rsidRPr="00B17841" w:rsidRDefault="00B17841" w:rsidP="003B4855">
      <w:pPr>
        <w:autoSpaceDE w:val="0"/>
        <w:autoSpaceDN w:val="0"/>
        <w:adjustRightInd w:val="0"/>
        <w:rPr>
          <w:rFonts w:cs="Times New Roman"/>
          <w:color w:val="000000"/>
          <w:szCs w:val="24"/>
          <w:lang w:val="en-CA"/>
        </w:rPr>
      </w:pPr>
      <w:r>
        <w:rPr>
          <w:rFonts w:cs="Times New Roman"/>
          <w:b/>
          <w:bCs/>
          <w:color w:val="000000"/>
          <w:szCs w:val="24"/>
          <w:lang w:val="en-CA"/>
        </w:rPr>
        <w:t>ADM(IE) Budget and SWE:</w:t>
      </w:r>
      <w:r w:rsidR="003B4855" w:rsidRPr="00B17841">
        <w:rPr>
          <w:rFonts w:cs="Times New Roman"/>
          <w:color w:val="000000"/>
          <w:szCs w:val="24"/>
          <w:lang w:val="en-CA"/>
        </w:rPr>
        <w:t xml:space="preserve"> Last year’s budget for ADM(IE) was $2.1B with SWE starting the year at $214M plus an additional $10M allocated for leave buy-out. For this year the budget for ADM(IE) is $2.1B with SWE increasing to $216.5M due to incremental pay increases. A copy of the FY21/22 and FY22/23 Budget and SWE report is attached with minutes. </w:t>
      </w:r>
    </w:p>
    <w:p w14:paraId="6AB37DA6" w14:textId="77777777" w:rsidR="003B4855" w:rsidRPr="00B17841" w:rsidRDefault="003B4855" w:rsidP="00EA047F">
      <w:pPr>
        <w:rPr>
          <w:rFonts w:cs="Times New Roman"/>
          <w:szCs w:val="24"/>
        </w:rPr>
      </w:pPr>
    </w:p>
    <w:p w14:paraId="02E8374E" w14:textId="77777777" w:rsidR="00724D28" w:rsidRPr="00B17841" w:rsidRDefault="00B17841">
      <w:pPr>
        <w:rPr>
          <w:rFonts w:cs="Times New Roman"/>
          <w:b/>
          <w:szCs w:val="24"/>
        </w:rPr>
      </w:pPr>
      <w:r w:rsidRPr="00B17841">
        <w:rPr>
          <w:rFonts w:cs="Times New Roman"/>
          <w:b/>
          <w:szCs w:val="24"/>
        </w:rPr>
        <w:t xml:space="preserve">Module 10 – </w:t>
      </w:r>
      <w:proofErr w:type="spellStart"/>
      <w:r w:rsidRPr="00B17841">
        <w:rPr>
          <w:rFonts w:cs="Times New Roman"/>
          <w:b/>
          <w:szCs w:val="24"/>
        </w:rPr>
        <w:t>Defence</w:t>
      </w:r>
      <w:proofErr w:type="spellEnd"/>
      <w:r w:rsidRPr="00B17841">
        <w:rPr>
          <w:rFonts w:cs="Times New Roman"/>
          <w:b/>
          <w:szCs w:val="24"/>
        </w:rPr>
        <w:t xml:space="preserve"> Construction Canada (DCC) - ADM(IE) Management Manual</w:t>
      </w:r>
      <w:r>
        <w:rPr>
          <w:rFonts w:cs="Times New Roman"/>
          <w:b/>
          <w:szCs w:val="24"/>
        </w:rPr>
        <w:t>:</w:t>
      </w:r>
    </w:p>
    <w:p w14:paraId="219E5154" w14:textId="77777777" w:rsidR="00724D28" w:rsidRPr="00B17841" w:rsidRDefault="00724D28">
      <w:pPr>
        <w:rPr>
          <w:rFonts w:cs="Times New Roman"/>
          <w:szCs w:val="24"/>
        </w:rPr>
      </w:pPr>
      <w:r w:rsidRPr="00B17841">
        <w:rPr>
          <w:rFonts w:cs="Times New Roman"/>
          <w:szCs w:val="24"/>
        </w:rPr>
        <w:t>The purpose of this module is to outline the unique function of DCC and the relationship with ADM(IE). DCC is the contracting authority for most DND real property contracts with some negotiated involvement of Public Services Procurement Canada (PSPC). Although DCC has a functional relationship to the Minister of PSPC, DCC reports to a Board of Directors and executes most of its responsibility through a Memorandum of Understanding (MOU) with ADM(IE). In keeping with the distributed responsibilities within the IEMM this module has been developed and issued under the authority of the Vice President Operations (VP Ops) of DCC.</w:t>
      </w:r>
    </w:p>
    <w:p w14:paraId="51A2BA84" w14:textId="77777777" w:rsidR="00724D28" w:rsidRDefault="00724D28"/>
    <w:p w14:paraId="221EF49A" w14:textId="77777777" w:rsidR="00724D28" w:rsidRPr="00365466" w:rsidRDefault="00724D28" w:rsidP="00724D28">
      <w:pPr>
        <w:autoSpaceDE w:val="0"/>
        <w:autoSpaceDN w:val="0"/>
        <w:adjustRightInd w:val="0"/>
        <w:rPr>
          <w:rFonts w:cs="Times New Roman"/>
          <w:b/>
          <w:color w:val="000000"/>
          <w:szCs w:val="24"/>
        </w:rPr>
      </w:pPr>
      <w:r w:rsidRPr="00365466">
        <w:rPr>
          <w:rFonts w:cs="Times New Roman"/>
          <w:b/>
          <w:color w:val="000000"/>
          <w:szCs w:val="24"/>
        </w:rPr>
        <w:t>Deloitte:</w:t>
      </w:r>
    </w:p>
    <w:p w14:paraId="189A7E88" w14:textId="77777777" w:rsidR="00724D28" w:rsidRDefault="00724D28" w:rsidP="00724D28">
      <w:pPr>
        <w:autoSpaceDE w:val="0"/>
        <w:autoSpaceDN w:val="0"/>
        <w:adjustRightInd w:val="0"/>
        <w:rPr>
          <w:rFonts w:cs="Times New Roman"/>
          <w:color w:val="000000"/>
          <w:szCs w:val="24"/>
        </w:rPr>
      </w:pPr>
      <w:r>
        <w:rPr>
          <w:rFonts w:cs="Times New Roman"/>
          <w:color w:val="000000"/>
          <w:szCs w:val="24"/>
        </w:rPr>
        <w:t xml:space="preserve">The purpose of this study is to review how RP Ops </w:t>
      </w:r>
      <w:proofErr w:type="spellStart"/>
      <w:r>
        <w:rPr>
          <w:rFonts w:cs="Times New Roman"/>
          <w:color w:val="000000"/>
          <w:szCs w:val="24"/>
        </w:rPr>
        <w:t>Gp</w:t>
      </w:r>
      <w:proofErr w:type="spellEnd"/>
      <w:r>
        <w:rPr>
          <w:rFonts w:cs="Times New Roman"/>
          <w:color w:val="000000"/>
          <w:szCs w:val="24"/>
        </w:rPr>
        <w:t xml:space="preserve"> is conducting Facility Management (FM) within the formation initially focusing on how they implement and oversee contracts but also how they can be “organized to be more resilient with resource constraints and a growing </w:t>
      </w:r>
      <w:r>
        <w:rPr>
          <w:rFonts w:cs="Times New Roman"/>
          <w:color w:val="000000"/>
          <w:szCs w:val="24"/>
        </w:rPr>
        <w:lastRenderedPageBreak/>
        <w:t>portfolio.” “The intent is not to reduce the workforce but look to provide consistency and develop efficiencies in how DND manages real property.”</w:t>
      </w:r>
    </w:p>
    <w:p w14:paraId="79F4DEED" w14:textId="77777777" w:rsidR="00724D28" w:rsidRDefault="00724D28" w:rsidP="00724D28">
      <w:pPr>
        <w:autoSpaceDE w:val="0"/>
        <w:autoSpaceDN w:val="0"/>
        <w:adjustRightInd w:val="0"/>
        <w:rPr>
          <w:rFonts w:cs="Times New Roman"/>
          <w:color w:val="000000"/>
          <w:szCs w:val="24"/>
        </w:rPr>
      </w:pPr>
      <w:r>
        <w:rPr>
          <w:rFonts w:cs="Times New Roman"/>
          <w:color w:val="000000"/>
          <w:szCs w:val="24"/>
        </w:rPr>
        <w:t xml:space="preserve">This is step one of the Organizational Design Review for </w:t>
      </w:r>
      <w:proofErr w:type="spellStart"/>
      <w:r>
        <w:rPr>
          <w:rFonts w:cs="Times New Roman"/>
          <w:color w:val="000000"/>
          <w:szCs w:val="24"/>
        </w:rPr>
        <w:t>RPOps</w:t>
      </w:r>
      <w:proofErr w:type="spellEnd"/>
      <w:r>
        <w:rPr>
          <w:rFonts w:cs="Times New Roman"/>
          <w:color w:val="000000"/>
          <w:szCs w:val="24"/>
        </w:rPr>
        <w:t>.</w:t>
      </w:r>
    </w:p>
    <w:p w14:paraId="42191ACA" w14:textId="77777777" w:rsidR="00724D28" w:rsidRDefault="00724D28" w:rsidP="00724D28">
      <w:pPr>
        <w:autoSpaceDE w:val="0"/>
        <w:autoSpaceDN w:val="0"/>
        <w:adjustRightInd w:val="0"/>
        <w:rPr>
          <w:rFonts w:cs="Times New Roman"/>
          <w:color w:val="000000"/>
          <w:szCs w:val="24"/>
        </w:rPr>
      </w:pPr>
      <w:r>
        <w:rPr>
          <w:rFonts w:cs="Times New Roman"/>
          <w:color w:val="000000"/>
          <w:szCs w:val="24"/>
        </w:rPr>
        <w:t>Interview and workshops have been completed across the country.</w:t>
      </w:r>
    </w:p>
    <w:p w14:paraId="5825986A" w14:textId="77777777" w:rsidR="00724D28" w:rsidRDefault="00724D28" w:rsidP="00724D28">
      <w:pPr>
        <w:autoSpaceDE w:val="0"/>
        <w:autoSpaceDN w:val="0"/>
        <w:adjustRightInd w:val="0"/>
        <w:rPr>
          <w:rFonts w:cs="Times New Roman"/>
          <w:color w:val="000000"/>
          <w:szCs w:val="24"/>
        </w:rPr>
      </w:pPr>
      <w:r>
        <w:rPr>
          <w:rFonts w:cs="Times New Roman"/>
          <w:color w:val="000000"/>
          <w:szCs w:val="24"/>
        </w:rPr>
        <w:t xml:space="preserve">Now analyzing initial insights and developing workshop materials.  </w:t>
      </w:r>
    </w:p>
    <w:p w14:paraId="3554FCF7" w14:textId="77777777" w:rsidR="00724D28" w:rsidRDefault="00724D28" w:rsidP="00724D28">
      <w:pPr>
        <w:autoSpaceDE w:val="0"/>
        <w:autoSpaceDN w:val="0"/>
        <w:adjustRightInd w:val="0"/>
        <w:rPr>
          <w:rFonts w:cs="Times New Roman"/>
          <w:color w:val="000000"/>
          <w:szCs w:val="24"/>
        </w:rPr>
      </w:pPr>
      <w:r>
        <w:rPr>
          <w:rFonts w:cs="Times New Roman"/>
          <w:color w:val="000000"/>
          <w:szCs w:val="24"/>
        </w:rPr>
        <w:t>Survey has been received by the RP Ops workforce.</w:t>
      </w:r>
    </w:p>
    <w:p w14:paraId="18795D22" w14:textId="77777777" w:rsidR="00724D28" w:rsidRDefault="00724D28" w:rsidP="00724D28">
      <w:pPr>
        <w:autoSpaceDE w:val="0"/>
        <w:autoSpaceDN w:val="0"/>
        <w:adjustRightInd w:val="0"/>
        <w:rPr>
          <w:rFonts w:cs="Times New Roman"/>
          <w:color w:val="000000"/>
          <w:szCs w:val="24"/>
        </w:rPr>
      </w:pPr>
      <w:r>
        <w:rPr>
          <w:rFonts w:cs="Times New Roman"/>
          <w:color w:val="000000"/>
          <w:szCs w:val="24"/>
        </w:rPr>
        <w:t>Completed Gap Analysis.  Articulate Final Recommendations.</w:t>
      </w:r>
    </w:p>
    <w:p w14:paraId="02F6AD2F" w14:textId="77777777" w:rsidR="00724D28" w:rsidRDefault="00724D28" w:rsidP="00724D28">
      <w:pPr>
        <w:autoSpaceDE w:val="0"/>
        <w:autoSpaceDN w:val="0"/>
        <w:adjustRightInd w:val="0"/>
        <w:rPr>
          <w:rFonts w:cs="Times New Roman"/>
          <w:color w:val="000000"/>
          <w:szCs w:val="24"/>
        </w:rPr>
      </w:pPr>
      <w:r>
        <w:rPr>
          <w:rFonts w:cs="Times New Roman"/>
          <w:color w:val="000000"/>
          <w:szCs w:val="24"/>
        </w:rPr>
        <w:t>Final Report is out for translation and will be presented to RP Ops units.</w:t>
      </w:r>
    </w:p>
    <w:p w14:paraId="4C5E90A8" w14:textId="77777777" w:rsidR="00724D28" w:rsidRDefault="00724D28" w:rsidP="00724D28">
      <w:pPr>
        <w:autoSpaceDE w:val="0"/>
        <w:autoSpaceDN w:val="0"/>
        <w:adjustRightInd w:val="0"/>
        <w:rPr>
          <w:rFonts w:cs="Times New Roman"/>
          <w:color w:val="000000"/>
          <w:szCs w:val="24"/>
        </w:rPr>
      </w:pPr>
    </w:p>
    <w:p w14:paraId="62E059CB" w14:textId="77777777" w:rsidR="00724D28" w:rsidRDefault="00724D28" w:rsidP="00724D28"/>
    <w:p w14:paraId="53E1ACA4" w14:textId="77777777" w:rsidR="00724D28" w:rsidRDefault="00724D28" w:rsidP="00724D28">
      <w:pPr>
        <w:pStyle w:val="Default"/>
        <w:rPr>
          <w:rFonts w:hint="eastAsia"/>
          <w:b/>
          <w:color w:val="auto"/>
        </w:rPr>
      </w:pPr>
      <w:r>
        <w:rPr>
          <w:b/>
          <w:color w:val="auto"/>
        </w:rPr>
        <w:t>37% of the overall number of staff and members have responded to the survey</w:t>
      </w:r>
    </w:p>
    <w:p w14:paraId="13A8FF00" w14:textId="77777777" w:rsidR="00724D28" w:rsidRDefault="00724D28" w:rsidP="00724D28">
      <w:pPr>
        <w:pStyle w:val="Default"/>
        <w:rPr>
          <w:rFonts w:ascii="Times New Roman" w:eastAsia="Times New Roman" w:hAnsi="Times New Roman" w:cs="Times New Roman"/>
          <w:b/>
          <w:color w:val="auto"/>
          <w:sz w:val="24"/>
          <w:szCs w:val="24"/>
        </w:rPr>
      </w:pPr>
    </w:p>
    <w:p w14:paraId="554B5A4C" w14:textId="77777777" w:rsidR="00724D28" w:rsidRDefault="00724D28" w:rsidP="00724D28">
      <w:pPr>
        <w:pStyle w:val="Default"/>
        <w:rPr>
          <w:rFonts w:ascii="Times New Roman" w:eastAsia="Times New Roman" w:hAnsi="Times New Roman" w:cs="Times New Roman"/>
          <w:sz w:val="24"/>
          <w:szCs w:val="24"/>
        </w:rPr>
      </w:pPr>
    </w:p>
    <w:tbl>
      <w:tblPr>
        <w:tblW w:w="8055" w:type="dxa"/>
        <w:tblInd w:w="-8" w:type="dxa"/>
        <w:tblCellMar>
          <w:left w:w="0" w:type="dxa"/>
          <w:right w:w="0" w:type="dxa"/>
        </w:tblCellMar>
        <w:tblLook w:val="04A0" w:firstRow="1" w:lastRow="0" w:firstColumn="1" w:lastColumn="0" w:noHBand="0" w:noVBand="1"/>
      </w:tblPr>
      <w:tblGrid>
        <w:gridCol w:w="1617"/>
        <w:gridCol w:w="1189"/>
        <w:gridCol w:w="1189"/>
        <w:gridCol w:w="1123"/>
        <w:gridCol w:w="1390"/>
        <w:gridCol w:w="1283"/>
        <w:gridCol w:w="1416"/>
      </w:tblGrid>
      <w:tr w:rsidR="00724D28" w14:paraId="654BE8BD" w14:textId="77777777" w:rsidTr="00724D28">
        <w:trPr>
          <w:trHeight w:val="1118"/>
        </w:trPr>
        <w:tc>
          <w:tcPr>
            <w:tcW w:w="1304" w:type="dxa"/>
            <w:tcBorders>
              <w:top w:val="single" w:sz="8" w:space="0" w:color="auto"/>
              <w:left w:val="single" w:sz="8" w:space="0" w:color="auto"/>
              <w:bottom w:val="single" w:sz="8" w:space="0" w:color="000000"/>
              <w:right w:val="single" w:sz="8" w:space="0" w:color="auto"/>
            </w:tcBorders>
            <w:shd w:val="clear" w:color="auto" w:fill="A6A6A6"/>
            <w:tcMar>
              <w:top w:w="0" w:type="dxa"/>
              <w:left w:w="108" w:type="dxa"/>
              <w:bottom w:w="0" w:type="dxa"/>
              <w:right w:w="108" w:type="dxa"/>
            </w:tcMar>
            <w:vAlign w:val="center"/>
            <w:hideMark/>
          </w:tcPr>
          <w:p w14:paraId="46D3F165" w14:textId="77777777" w:rsidR="00724D28" w:rsidRDefault="00724D28">
            <w:pPr>
              <w:jc w:val="center"/>
              <w:rPr>
                <w:rFonts w:eastAsia="Arial Unicode MS" w:cs="Times New Roman"/>
                <w:b/>
                <w:bCs/>
                <w:color w:val="000000"/>
                <w:sz w:val="22"/>
                <w:bdr w:val="none" w:sz="0" w:space="0" w:color="auto" w:frame="1"/>
                <w:lang w:eastAsia="en-CA"/>
              </w:rPr>
            </w:pPr>
            <w:r>
              <w:rPr>
                <w:b/>
                <w:bCs/>
                <w:color w:val="000000"/>
                <w:lang w:eastAsia="en-CA"/>
              </w:rPr>
              <w:t>Region</w:t>
            </w:r>
          </w:p>
        </w:tc>
        <w:tc>
          <w:tcPr>
            <w:tcW w:w="1074" w:type="dxa"/>
            <w:tcBorders>
              <w:top w:val="single" w:sz="8" w:space="0" w:color="auto"/>
              <w:left w:val="nil"/>
              <w:bottom w:val="single" w:sz="8" w:space="0" w:color="000000"/>
              <w:right w:val="single" w:sz="8" w:space="0" w:color="auto"/>
            </w:tcBorders>
            <w:shd w:val="clear" w:color="auto" w:fill="A6A6A6"/>
            <w:tcMar>
              <w:top w:w="0" w:type="dxa"/>
              <w:left w:w="108" w:type="dxa"/>
              <w:bottom w:w="0" w:type="dxa"/>
              <w:right w:w="108" w:type="dxa"/>
            </w:tcMar>
            <w:vAlign w:val="center"/>
            <w:hideMark/>
          </w:tcPr>
          <w:p w14:paraId="4BE09D16" w14:textId="77777777" w:rsidR="00724D28" w:rsidRDefault="00724D28">
            <w:pPr>
              <w:jc w:val="center"/>
              <w:rPr>
                <w:rFonts w:asciiTheme="minorHAnsi" w:hAnsiTheme="minorHAnsi"/>
                <w:b/>
                <w:bCs/>
                <w:color w:val="000000"/>
                <w:szCs w:val="24"/>
                <w:lang w:eastAsia="en-CA"/>
              </w:rPr>
            </w:pPr>
            <w:r>
              <w:rPr>
                <w:b/>
                <w:bCs/>
                <w:color w:val="000000"/>
                <w:lang w:eastAsia="en-CA"/>
              </w:rPr>
              <w:t>Regular Force Members</w:t>
            </w:r>
          </w:p>
        </w:tc>
        <w:tc>
          <w:tcPr>
            <w:tcW w:w="1074" w:type="dxa"/>
            <w:tcBorders>
              <w:top w:val="single" w:sz="8" w:space="0" w:color="auto"/>
              <w:left w:val="nil"/>
              <w:bottom w:val="single" w:sz="8" w:space="0" w:color="000000"/>
              <w:right w:val="single" w:sz="8" w:space="0" w:color="auto"/>
            </w:tcBorders>
            <w:shd w:val="clear" w:color="auto" w:fill="A6A6A6"/>
            <w:tcMar>
              <w:top w:w="0" w:type="dxa"/>
              <w:left w:w="108" w:type="dxa"/>
              <w:bottom w:w="0" w:type="dxa"/>
              <w:right w:w="108" w:type="dxa"/>
            </w:tcMar>
            <w:vAlign w:val="center"/>
            <w:hideMark/>
          </w:tcPr>
          <w:p w14:paraId="02F73654" w14:textId="77777777" w:rsidR="00724D28" w:rsidRDefault="00724D28">
            <w:pPr>
              <w:jc w:val="center"/>
              <w:rPr>
                <w:b/>
                <w:bCs/>
                <w:color w:val="000000"/>
                <w:sz w:val="22"/>
                <w:lang w:val="en-CA" w:eastAsia="en-CA"/>
              </w:rPr>
            </w:pPr>
            <w:r>
              <w:rPr>
                <w:b/>
                <w:bCs/>
                <w:color w:val="000000"/>
                <w:lang w:eastAsia="en-CA"/>
              </w:rPr>
              <w:t>Primary Reserve Members</w:t>
            </w:r>
          </w:p>
        </w:tc>
        <w:tc>
          <w:tcPr>
            <w:tcW w:w="936" w:type="dxa"/>
            <w:tcBorders>
              <w:top w:val="single" w:sz="8" w:space="0" w:color="auto"/>
              <w:left w:val="nil"/>
              <w:bottom w:val="single" w:sz="8" w:space="0" w:color="000000"/>
              <w:right w:val="single" w:sz="8" w:space="0" w:color="auto"/>
            </w:tcBorders>
            <w:shd w:val="clear" w:color="auto" w:fill="A6A6A6"/>
            <w:tcMar>
              <w:top w:w="0" w:type="dxa"/>
              <w:left w:w="108" w:type="dxa"/>
              <w:bottom w:w="0" w:type="dxa"/>
              <w:right w:w="108" w:type="dxa"/>
            </w:tcMar>
            <w:vAlign w:val="center"/>
            <w:hideMark/>
          </w:tcPr>
          <w:p w14:paraId="60EBE61E" w14:textId="77777777" w:rsidR="00724D28" w:rsidRDefault="00724D28">
            <w:pPr>
              <w:jc w:val="center"/>
              <w:rPr>
                <w:b/>
                <w:bCs/>
                <w:color w:val="000000"/>
                <w:lang w:eastAsia="en-CA"/>
              </w:rPr>
            </w:pPr>
            <w:r>
              <w:rPr>
                <w:b/>
                <w:bCs/>
                <w:color w:val="000000"/>
                <w:lang w:eastAsia="en-CA"/>
              </w:rPr>
              <w:t>Civilians</w:t>
            </w:r>
          </w:p>
        </w:tc>
        <w:tc>
          <w:tcPr>
            <w:tcW w:w="1243" w:type="dxa"/>
            <w:tcBorders>
              <w:top w:val="single" w:sz="8" w:space="0" w:color="auto"/>
              <w:left w:val="nil"/>
              <w:bottom w:val="single" w:sz="8" w:space="0" w:color="auto"/>
              <w:right w:val="single" w:sz="8" w:space="0" w:color="auto"/>
            </w:tcBorders>
            <w:shd w:val="clear" w:color="auto" w:fill="A6A6A6"/>
            <w:tcMar>
              <w:top w:w="0" w:type="dxa"/>
              <w:left w:w="108" w:type="dxa"/>
              <w:bottom w:w="0" w:type="dxa"/>
              <w:right w:w="108" w:type="dxa"/>
            </w:tcMar>
            <w:vAlign w:val="center"/>
            <w:hideMark/>
          </w:tcPr>
          <w:p w14:paraId="54E7F02E" w14:textId="77777777" w:rsidR="00724D28" w:rsidRDefault="00724D28">
            <w:pPr>
              <w:jc w:val="center"/>
              <w:rPr>
                <w:b/>
                <w:bCs/>
                <w:color w:val="000000"/>
                <w:lang w:eastAsia="en-CA"/>
              </w:rPr>
            </w:pPr>
            <w:r>
              <w:rPr>
                <w:b/>
                <w:bCs/>
                <w:color w:val="000000"/>
                <w:lang w:eastAsia="en-CA"/>
              </w:rPr>
              <w:t xml:space="preserve">TOTAL </w:t>
            </w:r>
          </w:p>
          <w:p w14:paraId="60F5F90A" w14:textId="77777777" w:rsidR="00724D28" w:rsidRDefault="00724D28">
            <w:pPr>
              <w:rPr>
                <w:b/>
                <w:bCs/>
                <w:color w:val="000000"/>
                <w:lang w:eastAsia="en-CA"/>
              </w:rPr>
            </w:pPr>
            <w:r>
              <w:rPr>
                <w:b/>
                <w:bCs/>
                <w:color w:val="000000"/>
                <w:lang w:eastAsia="en-CA"/>
              </w:rPr>
              <w:t>(Personnel)</w:t>
            </w:r>
          </w:p>
        </w:tc>
        <w:tc>
          <w:tcPr>
            <w:tcW w:w="1166" w:type="dxa"/>
            <w:tcBorders>
              <w:top w:val="single" w:sz="8" w:space="0" w:color="auto"/>
              <w:left w:val="nil"/>
              <w:bottom w:val="single" w:sz="8" w:space="0" w:color="000000"/>
              <w:right w:val="single" w:sz="8" w:space="0" w:color="auto"/>
            </w:tcBorders>
            <w:shd w:val="clear" w:color="auto" w:fill="A6A6A6"/>
            <w:tcMar>
              <w:top w:w="0" w:type="dxa"/>
              <w:left w:w="108" w:type="dxa"/>
              <w:bottom w:w="0" w:type="dxa"/>
              <w:right w:w="108" w:type="dxa"/>
            </w:tcMar>
            <w:vAlign w:val="center"/>
            <w:hideMark/>
          </w:tcPr>
          <w:p w14:paraId="575FD6CA" w14:textId="77777777" w:rsidR="00724D28" w:rsidRDefault="00724D28">
            <w:pPr>
              <w:jc w:val="center"/>
              <w:rPr>
                <w:b/>
                <w:bCs/>
                <w:color w:val="000000"/>
                <w:lang w:eastAsia="en-CA"/>
              </w:rPr>
            </w:pPr>
            <w:r>
              <w:rPr>
                <w:b/>
                <w:bCs/>
                <w:color w:val="000000"/>
                <w:lang w:eastAsia="en-CA"/>
              </w:rPr>
              <w:t>Surveys Submitted to Date</w:t>
            </w:r>
          </w:p>
        </w:tc>
        <w:tc>
          <w:tcPr>
            <w:tcW w:w="1258" w:type="dxa"/>
            <w:tcBorders>
              <w:top w:val="single" w:sz="8" w:space="0" w:color="auto"/>
              <w:left w:val="nil"/>
              <w:bottom w:val="single" w:sz="8" w:space="0" w:color="000000"/>
              <w:right w:val="single" w:sz="8" w:space="0" w:color="auto"/>
            </w:tcBorders>
            <w:shd w:val="clear" w:color="auto" w:fill="A6A6A6"/>
            <w:tcMar>
              <w:top w:w="0" w:type="dxa"/>
              <w:left w:w="108" w:type="dxa"/>
              <w:bottom w:w="0" w:type="dxa"/>
              <w:right w:w="108" w:type="dxa"/>
            </w:tcMar>
            <w:vAlign w:val="center"/>
            <w:hideMark/>
          </w:tcPr>
          <w:p w14:paraId="12BFDB47" w14:textId="77777777" w:rsidR="00724D28" w:rsidRDefault="00724D28">
            <w:pPr>
              <w:jc w:val="center"/>
              <w:rPr>
                <w:b/>
                <w:bCs/>
                <w:color w:val="0070C0"/>
                <w:lang w:eastAsia="en-CA"/>
              </w:rPr>
            </w:pPr>
            <w:r>
              <w:rPr>
                <w:b/>
                <w:bCs/>
                <w:lang w:eastAsia="en-CA"/>
              </w:rPr>
              <w:t>Regional Completion %</w:t>
            </w:r>
          </w:p>
        </w:tc>
      </w:tr>
      <w:tr w:rsidR="00724D28" w14:paraId="3A076D26" w14:textId="77777777" w:rsidTr="00724D28">
        <w:trPr>
          <w:trHeight w:val="552"/>
        </w:trPr>
        <w:tc>
          <w:tcPr>
            <w:tcW w:w="1304" w:type="dxa"/>
            <w:tcBorders>
              <w:top w:val="nil"/>
              <w:left w:val="single" w:sz="8" w:space="0" w:color="auto"/>
              <w:bottom w:val="single" w:sz="8" w:space="0" w:color="auto"/>
              <w:right w:val="single" w:sz="8" w:space="0" w:color="auto"/>
            </w:tcBorders>
            <w:shd w:val="clear" w:color="auto" w:fill="EDEDED"/>
            <w:tcMar>
              <w:top w:w="0" w:type="dxa"/>
              <w:left w:w="108" w:type="dxa"/>
              <w:bottom w:w="0" w:type="dxa"/>
              <w:right w:w="108" w:type="dxa"/>
            </w:tcMar>
            <w:vAlign w:val="center"/>
            <w:hideMark/>
          </w:tcPr>
          <w:p w14:paraId="2C2C9279" w14:textId="77777777" w:rsidR="00724D28" w:rsidRDefault="00724D28">
            <w:pPr>
              <w:jc w:val="center"/>
              <w:rPr>
                <w:b/>
                <w:bCs/>
                <w:color w:val="000000"/>
                <w:lang w:eastAsia="en-CA"/>
              </w:rPr>
            </w:pPr>
            <w:r>
              <w:rPr>
                <w:b/>
                <w:bCs/>
                <w:color w:val="000000"/>
                <w:lang w:eastAsia="en-CA"/>
              </w:rPr>
              <w:t xml:space="preserve">CF RP Ops </w:t>
            </w:r>
            <w:proofErr w:type="spellStart"/>
            <w:r>
              <w:rPr>
                <w:b/>
                <w:bCs/>
                <w:color w:val="000000"/>
                <w:lang w:eastAsia="en-CA"/>
              </w:rPr>
              <w:t>Gp</w:t>
            </w:r>
            <w:proofErr w:type="spellEnd"/>
            <w:r>
              <w:rPr>
                <w:b/>
                <w:bCs/>
                <w:color w:val="000000"/>
                <w:lang w:eastAsia="en-CA"/>
              </w:rPr>
              <w:t xml:space="preserve"> – HQ</w:t>
            </w:r>
          </w:p>
        </w:tc>
        <w:tc>
          <w:tcPr>
            <w:tcW w:w="1074" w:type="dxa"/>
            <w:tcBorders>
              <w:top w:val="nil"/>
              <w:left w:val="nil"/>
              <w:bottom w:val="single" w:sz="8" w:space="0" w:color="auto"/>
              <w:right w:val="single" w:sz="8" w:space="0" w:color="auto"/>
            </w:tcBorders>
            <w:shd w:val="clear" w:color="auto" w:fill="EDEDED"/>
            <w:tcMar>
              <w:top w:w="0" w:type="dxa"/>
              <w:left w:w="108" w:type="dxa"/>
              <w:bottom w:w="0" w:type="dxa"/>
              <w:right w:w="108" w:type="dxa"/>
            </w:tcMar>
            <w:vAlign w:val="center"/>
            <w:hideMark/>
          </w:tcPr>
          <w:p w14:paraId="44FBF071" w14:textId="77777777" w:rsidR="00724D28" w:rsidRDefault="00724D28">
            <w:pPr>
              <w:jc w:val="center"/>
              <w:rPr>
                <w:color w:val="000000"/>
                <w:lang w:eastAsia="en-CA"/>
              </w:rPr>
            </w:pPr>
            <w:r>
              <w:rPr>
                <w:color w:val="000000"/>
                <w:lang w:eastAsia="en-CA"/>
              </w:rPr>
              <w:t>17</w:t>
            </w:r>
          </w:p>
        </w:tc>
        <w:tc>
          <w:tcPr>
            <w:tcW w:w="1074" w:type="dxa"/>
            <w:tcBorders>
              <w:top w:val="nil"/>
              <w:left w:val="nil"/>
              <w:bottom w:val="single" w:sz="8" w:space="0" w:color="auto"/>
              <w:right w:val="single" w:sz="8" w:space="0" w:color="auto"/>
            </w:tcBorders>
            <w:shd w:val="clear" w:color="auto" w:fill="EDEDED"/>
            <w:tcMar>
              <w:top w:w="0" w:type="dxa"/>
              <w:left w:w="108" w:type="dxa"/>
              <w:bottom w:w="0" w:type="dxa"/>
              <w:right w:w="108" w:type="dxa"/>
            </w:tcMar>
            <w:vAlign w:val="center"/>
            <w:hideMark/>
          </w:tcPr>
          <w:p w14:paraId="1043F9A4" w14:textId="77777777" w:rsidR="00724D28" w:rsidRDefault="00724D28">
            <w:pPr>
              <w:jc w:val="center"/>
              <w:rPr>
                <w:color w:val="000000"/>
                <w:lang w:eastAsia="en-CA"/>
              </w:rPr>
            </w:pPr>
            <w:r>
              <w:rPr>
                <w:color w:val="000000"/>
                <w:lang w:eastAsia="en-CA"/>
              </w:rPr>
              <w:t>0</w:t>
            </w:r>
          </w:p>
        </w:tc>
        <w:tc>
          <w:tcPr>
            <w:tcW w:w="936" w:type="dxa"/>
            <w:tcBorders>
              <w:top w:val="nil"/>
              <w:left w:val="nil"/>
              <w:bottom w:val="single" w:sz="8" w:space="0" w:color="auto"/>
              <w:right w:val="single" w:sz="8" w:space="0" w:color="auto"/>
            </w:tcBorders>
            <w:shd w:val="clear" w:color="auto" w:fill="EDEDED"/>
            <w:tcMar>
              <w:top w:w="0" w:type="dxa"/>
              <w:left w:w="108" w:type="dxa"/>
              <w:bottom w:w="0" w:type="dxa"/>
              <w:right w:w="108" w:type="dxa"/>
            </w:tcMar>
            <w:vAlign w:val="center"/>
            <w:hideMark/>
          </w:tcPr>
          <w:p w14:paraId="1ACCD336" w14:textId="77777777" w:rsidR="00724D28" w:rsidRDefault="00724D28">
            <w:pPr>
              <w:jc w:val="center"/>
              <w:rPr>
                <w:color w:val="000000"/>
                <w:lang w:eastAsia="en-CA"/>
              </w:rPr>
            </w:pPr>
            <w:r>
              <w:rPr>
                <w:color w:val="000000"/>
                <w:lang w:eastAsia="en-CA"/>
              </w:rPr>
              <w:t>27</w:t>
            </w:r>
          </w:p>
        </w:tc>
        <w:tc>
          <w:tcPr>
            <w:tcW w:w="1243" w:type="dxa"/>
            <w:tcBorders>
              <w:top w:val="nil"/>
              <w:left w:val="nil"/>
              <w:bottom w:val="single" w:sz="8" w:space="0" w:color="auto"/>
              <w:right w:val="single" w:sz="8" w:space="0" w:color="auto"/>
            </w:tcBorders>
            <w:shd w:val="clear" w:color="auto" w:fill="EDEDED"/>
            <w:tcMar>
              <w:top w:w="0" w:type="dxa"/>
              <w:left w:w="108" w:type="dxa"/>
              <w:bottom w:w="0" w:type="dxa"/>
              <w:right w:w="108" w:type="dxa"/>
            </w:tcMar>
            <w:vAlign w:val="center"/>
            <w:hideMark/>
          </w:tcPr>
          <w:p w14:paraId="3ECF6ECC" w14:textId="77777777" w:rsidR="00724D28" w:rsidRDefault="00724D28">
            <w:pPr>
              <w:jc w:val="center"/>
              <w:rPr>
                <w:b/>
                <w:bCs/>
                <w:color w:val="000000"/>
                <w:lang w:eastAsia="en-CA"/>
              </w:rPr>
            </w:pPr>
            <w:r>
              <w:rPr>
                <w:b/>
                <w:bCs/>
                <w:color w:val="000000"/>
                <w:lang w:eastAsia="en-CA"/>
              </w:rPr>
              <w:t>44</w:t>
            </w:r>
          </w:p>
        </w:tc>
        <w:tc>
          <w:tcPr>
            <w:tcW w:w="1166" w:type="dxa"/>
            <w:tcBorders>
              <w:top w:val="nil"/>
              <w:left w:val="nil"/>
              <w:bottom w:val="single" w:sz="8" w:space="0" w:color="auto"/>
              <w:right w:val="single" w:sz="8" w:space="0" w:color="auto"/>
            </w:tcBorders>
            <w:shd w:val="clear" w:color="auto" w:fill="EDEDED"/>
            <w:tcMar>
              <w:top w:w="0" w:type="dxa"/>
              <w:left w:w="108" w:type="dxa"/>
              <w:bottom w:w="0" w:type="dxa"/>
              <w:right w:w="108" w:type="dxa"/>
            </w:tcMar>
            <w:vAlign w:val="center"/>
            <w:hideMark/>
          </w:tcPr>
          <w:p w14:paraId="36DA5A15" w14:textId="77777777" w:rsidR="00724D28" w:rsidRDefault="00724D28">
            <w:pPr>
              <w:jc w:val="center"/>
              <w:rPr>
                <w:b/>
                <w:bCs/>
                <w:color w:val="000000"/>
                <w:lang w:eastAsia="en-CA"/>
              </w:rPr>
            </w:pPr>
            <w:r>
              <w:rPr>
                <w:b/>
                <w:bCs/>
                <w:color w:val="000000"/>
              </w:rPr>
              <w:t>26</w:t>
            </w:r>
          </w:p>
        </w:tc>
        <w:tc>
          <w:tcPr>
            <w:tcW w:w="1258" w:type="dxa"/>
            <w:tcBorders>
              <w:top w:val="nil"/>
              <w:left w:val="nil"/>
              <w:bottom w:val="single" w:sz="8" w:space="0" w:color="auto"/>
              <w:right w:val="single" w:sz="8" w:space="0" w:color="auto"/>
            </w:tcBorders>
            <w:shd w:val="clear" w:color="auto" w:fill="EDEDED"/>
            <w:tcMar>
              <w:top w:w="0" w:type="dxa"/>
              <w:left w:w="108" w:type="dxa"/>
              <w:bottom w:w="0" w:type="dxa"/>
              <w:right w:w="108" w:type="dxa"/>
            </w:tcMar>
            <w:vAlign w:val="center"/>
            <w:hideMark/>
          </w:tcPr>
          <w:p w14:paraId="71BEA687" w14:textId="77777777" w:rsidR="00724D28" w:rsidRDefault="00724D28">
            <w:pPr>
              <w:jc w:val="center"/>
              <w:rPr>
                <w:rFonts w:ascii="Calibri" w:hAnsi="Calibri" w:cs="Calibri"/>
                <w:b/>
                <w:bCs/>
                <w:color w:val="0070C0"/>
              </w:rPr>
            </w:pPr>
            <w:r>
              <w:rPr>
                <w:b/>
                <w:bCs/>
                <w:color w:val="0070C0"/>
              </w:rPr>
              <w:t>59%</w:t>
            </w:r>
          </w:p>
        </w:tc>
      </w:tr>
      <w:tr w:rsidR="00724D28" w14:paraId="73DA1727" w14:textId="77777777" w:rsidTr="00724D28">
        <w:trPr>
          <w:trHeight w:val="551"/>
        </w:trPr>
        <w:tc>
          <w:tcPr>
            <w:tcW w:w="1304" w:type="dxa"/>
            <w:tcBorders>
              <w:top w:val="nil"/>
              <w:left w:val="single" w:sz="8" w:space="0" w:color="auto"/>
              <w:bottom w:val="single" w:sz="8" w:space="0" w:color="auto"/>
              <w:right w:val="single" w:sz="8" w:space="0" w:color="auto"/>
            </w:tcBorders>
            <w:shd w:val="clear" w:color="auto" w:fill="DBDBDB"/>
            <w:tcMar>
              <w:top w:w="0" w:type="dxa"/>
              <w:left w:w="108" w:type="dxa"/>
              <w:bottom w:w="0" w:type="dxa"/>
              <w:right w:w="108" w:type="dxa"/>
            </w:tcMar>
            <w:vAlign w:val="center"/>
            <w:hideMark/>
          </w:tcPr>
          <w:p w14:paraId="49F3180E" w14:textId="77777777" w:rsidR="00724D28" w:rsidRDefault="00724D28">
            <w:pPr>
              <w:jc w:val="center"/>
              <w:rPr>
                <w:rFonts w:cs="Times New Roman"/>
                <w:b/>
                <w:bCs/>
                <w:color w:val="000000"/>
                <w:szCs w:val="24"/>
                <w:lang w:eastAsia="en-CA"/>
              </w:rPr>
            </w:pPr>
            <w:r>
              <w:rPr>
                <w:b/>
                <w:bCs/>
                <w:color w:val="000000"/>
                <w:lang w:eastAsia="en-CA"/>
              </w:rPr>
              <w:t>RPOU(A)</w:t>
            </w:r>
          </w:p>
        </w:tc>
        <w:tc>
          <w:tcPr>
            <w:tcW w:w="1074" w:type="dxa"/>
            <w:tcBorders>
              <w:top w:val="nil"/>
              <w:left w:val="nil"/>
              <w:bottom w:val="single" w:sz="8" w:space="0" w:color="auto"/>
              <w:right w:val="single" w:sz="8" w:space="0" w:color="auto"/>
            </w:tcBorders>
            <w:shd w:val="clear" w:color="auto" w:fill="DBDBDB"/>
            <w:tcMar>
              <w:top w:w="0" w:type="dxa"/>
              <w:left w:w="108" w:type="dxa"/>
              <w:bottom w:w="0" w:type="dxa"/>
              <w:right w:w="108" w:type="dxa"/>
            </w:tcMar>
            <w:vAlign w:val="center"/>
            <w:hideMark/>
          </w:tcPr>
          <w:p w14:paraId="0DEEB558" w14:textId="77777777" w:rsidR="00724D28" w:rsidRDefault="00724D28">
            <w:pPr>
              <w:jc w:val="center"/>
              <w:rPr>
                <w:rFonts w:asciiTheme="minorHAnsi" w:hAnsiTheme="minorHAnsi"/>
                <w:color w:val="000000"/>
                <w:sz w:val="22"/>
                <w:lang w:eastAsia="en-CA"/>
              </w:rPr>
            </w:pPr>
            <w:r>
              <w:rPr>
                <w:color w:val="000000"/>
                <w:lang w:eastAsia="en-CA"/>
              </w:rPr>
              <w:t>78</w:t>
            </w:r>
          </w:p>
        </w:tc>
        <w:tc>
          <w:tcPr>
            <w:tcW w:w="1074" w:type="dxa"/>
            <w:tcBorders>
              <w:top w:val="nil"/>
              <w:left w:val="nil"/>
              <w:bottom w:val="single" w:sz="8" w:space="0" w:color="auto"/>
              <w:right w:val="single" w:sz="8" w:space="0" w:color="auto"/>
            </w:tcBorders>
            <w:shd w:val="clear" w:color="auto" w:fill="DBDBDB"/>
            <w:tcMar>
              <w:top w:w="0" w:type="dxa"/>
              <w:left w:w="108" w:type="dxa"/>
              <w:bottom w:w="0" w:type="dxa"/>
              <w:right w:w="108" w:type="dxa"/>
            </w:tcMar>
            <w:vAlign w:val="center"/>
            <w:hideMark/>
          </w:tcPr>
          <w:p w14:paraId="19AFA5CC" w14:textId="77777777" w:rsidR="00724D28" w:rsidRDefault="00724D28">
            <w:pPr>
              <w:jc w:val="center"/>
              <w:rPr>
                <w:color w:val="000000"/>
                <w:lang w:eastAsia="en-CA"/>
              </w:rPr>
            </w:pPr>
            <w:r>
              <w:rPr>
                <w:color w:val="000000"/>
                <w:lang w:eastAsia="en-CA"/>
              </w:rPr>
              <w:t>3</w:t>
            </w:r>
          </w:p>
        </w:tc>
        <w:tc>
          <w:tcPr>
            <w:tcW w:w="936" w:type="dxa"/>
            <w:tcBorders>
              <w:top w:val="nil"/>
              <w:left w:val="nil"/>
              <w:bottom w:val="single" w:sz="8" w:space="0" w:color="auto"/>
              <w:right w:val="single" w:sz="8" w:space="0" w:color="auto"/>
            </w:tcBorders>
            <w:shd w:val="clear" w:color="auto" w:fill="DBDBDB"/>
            <w:tcMar>
              <w:top w:w="0" w:type="dxa"/>
              <w:left w:w="108" w:type="dxa"/>
              <w:bottom w:w="0" w:type="dxa"/>
              <w:right w:w="108" w:type="dxa"/>
            </w:tcMar>
            <w:vAlign w:val="center"/>
            <w:hideMark/>
          </w:tcPr>
          <w:p w14:paraId="027838C3" w14:textId="77777777" w:rsidR="00724D28" w:rsidRDefault="00724D28">
            <w:pPr>
              <w:jc w:val="center"/>
              <w:rPr>
                <w:color w:val="000000"/>
                <w:lang w:eastAsia="en-CA"/>
              </w:rPr>
            </w:pPr>
            <w:r>
              <w:rPr>
                <w:color w:val="000000"/>
                <w:lang w:eastAsia="en-CA"/>
              </w:rPr>
              <w:t>594</w:t>
            </w:r>
          </w:p>
        </w:tc>
        <w:tc>
          <w:tcPr>
            <w:tcW w:w="1243" w:type="dxa"/>
            <w:tcBorders>
              <w:top w:val="nil"/>
              <w:left w:val="nil"/>
              <w:bottom w:val="single" w:sz="8" w:space="0" w:color="auto"/>
              <w:right w:val="single" w:sz="8" w:space="0" w:color="auto"/>
            </w:tcBorders>
            <w:shd w:val="clear" w:color="auto" w:fill="DBDBDB"/>
            <w:tcMar>
              <w:top w:w="0" w:type="dxa"/>
              <w:left w:w="108" w:type="dxa"/>
              <w:bottom w:w="0" w:type="dxa"/>
              <w:right w:w="108" w:type="dxa"/>
            </w:tcMar>
            <w:vAlign w:val="center"/>
            <w:hideMark/>
          </w:tcPr>
          <w:p w14:paraId="5926466A" w14:textId="77777777" w:rsidR="00724D28" w:rsidRDefault="00724D28">
            <w:pPr>
              <w:jc w:val="center"/>
              <w:rPr>
                <w:b/>
                <w:bCs/>
                <w:color w:val="000000"/>
                <w:lang w:eastAsia="en-CA"/>
              </w:rPr>
            </w:pPr>
            <w:r>
              <w:rPr>
                <w:b/>
                <w:bCs/>
                <w:color w:val="000000"/>
                <w:lang w:eastAsia="en-CA"/>
              </w:rPr>
              <w:t>675</w:t>
            </w:r>
          </w:p>
        </w:tc>
        <w:tc>
          <w:tcPr>
            <w:tcW w:w="1166" w:type="dxa"/>
            <w:tcBorders>
              <w:top w:val="nil"/>
              <w:left w:val="nil"/>
              <w:bottom w:val="single" w:sz="8" w:space="0" w:color="auto"/>
              <w:right w:val="single" w:sz="8" w:space="0" w:color="auto"/>
            </w:tcBorders>
            <w:shd w:val="clear" w:color="auto" w:fill="DBDBDB"/>
            <w:tcMar>
              <w:top w:w="0" w:type="dxa"/>
              <w:left w:w="108" w:type="dxa"/>
              <w:bottom w:w="0" w:type="dxa"/>
              <w:right w:w="108" w:type="dxa"/>
            </w:tcMar>
            <w:vAlign w:val="center"/>
            <w:hideMark/>
          </w:tcPr>
          <w:p w14:paraId="2C68257B" w14:textId="77777777" w:rsidR="00724D28" w:rsidRDefault="00724D28">
            <w:pPr>
              <w:jc w:val="center"/>
              <w:rPr>
                <w:b/>
                <w:bCs/>
                <w:color w:val="000000"/>
              </w:rPr>
            </w:pPr>
            <w:r>
              <w:rPr>
                <w:b/>
                <w:bCs/>
                <w:color w:val="000000"/>
              </w:rPr>
              <w:t>103</w:t>
            </w:r>
          </w:p>
        </w:tc>
        <w:tc>
          <w:tcPr>
            <w:tcW w:w="1258" w:type="dxa"/>
            <w:tcBorders>
              <w:top w:val="nil"/>
              <w:left w:val="nil"/>
              <w:bottom w:val="single" w:sz="8" w:space="0" w:color="auto"/>
              <w:right w:val="single" w:sz="8" w:space="0" w:color="auto"/>
            </w:tcBorders>
            <w:shd w:val="clear" w:color="auto" w:fill="DBDBDB"/>
            <w:tcMar>
              <w:top w:w="0" w:type="dxa"/>
              <w:left w:w="108" w:type="dxa"/>
              <w:bottom w:w="0" w:type="dxa"/>
              <w:right w:w="108" w:type="dxa"/>
            </w:tcMar>
            <w:vAlign w:val="center"/>
            <w:hideMark/>
          </w:tcPr>
          <w:p w14:paraId="3272A96A" w14:textId="77777777" w:rsidR="00724D28" w:rsidRDefault="00724D28">
            <w:pPr>
              <w:jc w:val="center"/>
              <w:rPr>
                <w:b/>
                <w:bCs/>
                <w:color w:val="0070C0"/>
              </w:rPr>
            </w:pPr>
            <w:r>
              <w:rPr>
                <w:b/>
                <w:bCs/>
                <w:color w:val="0070C0"/>
              </w:rPr>
              <w:t>15%</w:t>
            </w:r>
          </w:p>
        </w:tc>
      </w:tr>
      <w:tr w:rsidR="00724D28" w14:paraId="2BAFFB4C" w14:textId="77777777" w:rsidTr="00724D28">
        <w:trPr>
          <w:trHeight w:val="552"/>
        </w:trPr>
        <w:tc>
          <w:tcPr>
            <w:tcW w:w="1304" w:type="dxa"/>
            <w:tcBorders>
              <w:top w:val="nil"/>
              <w:left w:val="single" w:sz="8" w:space="0" w:color="auto"/>
              <w:bottom w:val="single" w:sz="8" w:space="0" w:color="auto"/>
              <w:right w:val="single" w:sz="8" w:space="0" w:color="auto"/>
            </w:tcBorders>
            <w:shd w:val="clear" w:color="auto" w:fill="EDEDED"/>
            <w:tcMar>
              <w:top w:w="0" w:type="dxa"/>
              <w:left w:w="108" w:type="dxa"/>
              <w:bottom w:w="0" w:type="dxa"/>
              <w:right w:w="108" w:type="dxa"/>
            </w:tcMar>
            <w:vAlign w:val="center"/>
            <w:hideMark/>
          </w:tcPr>
          <w:p w14:paraId="10B73698" w14:textId="77777777" w:rsidR="00724D28" w:rsidRDefault="00724D28">
            <w:pPr>
              <w:jc w:val="center"/>
              <w:rPr>
                <w:b/>
                <w:bCs/>
                <w:color w:val="000000"/>
                <w:lang w:eastAsia="en-CA"/>
              </w:rPr>
            </w:pPr>
            <w:r>
              <w:rPr>
                <w:b/>
                <w:bCs/>
                <w:color w:val="000000"/>
                <w:lang w:eastAsia="en-CA"/>
              </w:rPr>
              <w:t>UOI (Q)</w:t>
            </w:r>
          </w:p>
        </w:tc>
        <w:tc>
          <w:tcPr>
            <w:tcW w:w="1074" w:type="dxa"/>
            <w:tcBorders>
              <w:top w:val="nil"/>
              <w:left w:val="nil"/>
              <w:bottom w:val="single" w:sz="8" w:space="0" w:color="auto"/>
              <w:right w:val="single" w:sz="8" w:space="0" w:color="auto"/>
            </w:tcBorders>
            <w:shd w:val="clear" w:color="auto" w:fill="EDEDED"/>
            <w:tcMar>
              <w:top w:w="0" w:type="dxa"/>
              <w:left w:w="108" w:type="dxa"/>
              <w:bottom w:w="0" w:type="dxa"/>
              <w:right w:w="108" w:type="dxa"/>
            </w:tcMar>
            <w:vAlign w:val="center"/>
            <w:hideMark/>
          </w:tcPr>
          <w:p w14:paraId="5FB62FC5" w14:textId="77777777" w:rsidR="00724D28" w:rsidRDefault="00724D28">
            <w:pPr>
              <w:jc w:val="center"/>
              <w:rPr>
                <w:color w:val="000000"/>
                <w:lang w:eastAsia="en-CA"/>
              </w:rPr>
            </w:pPr>
            <w:r>
              <w:rPr>
                <w:color w:val="000000"/>
                <w:lang w:eastAsia="en-CA"/>
              </w:rPr>
              <w:t>43</w:t>
            </w:r>
          </w:p>
        </w:tc>
        <w:tc>
          <w:tcPr>
            <w:tcW w:w="1074" w:type="dxa"/>
            <w:tcBorders>
              <w:top w:val="nil"/>
              <w:left w:val="nil"/>
              <w:bottom w:val="single" w:sz="8" w:space="0" w:color="auto"/>
              <w:right w:val="single" w:sz="8" w:space="0" w:color="auto"/>
            </w:tcBorders>
            <w:shd w:val="clear" w:color="auto" w:fill="EDEDED"/>
            <w:tcMar>
              <w:top w:w="0" w:type="dxa"/>
              <w:left w:w="108" w:type="dxa"/>
              <w:bottom w:w="0" w:type="dxa"/>
              <w:right w:w="108" w:type="dxa"/>
            </w:tcMar>
            <w:vAlign w:val="center"/>
            <w:hideMark/>
          </w:tcPr>
          <w:p w14:paraId="6B538E80" w14:textId="77777777" w:rsidR="00724D28" w:rsidRDefault="00724D28">
            <w:pPr>
              <w:jc w:val="center"/>
              <w:rPr>
                <w:color w:val="000000"/>
                <w:lang w:eastAsia="en-CA"/>
              </w:rPr>
            </w:pPr>
            <w:r>
              <w:rPr>
                <w:color w:val="000000"/>
                <w:lang w:eastAsia="en-CA"/>
              </w:rPr>
              <w:t>2</w:t>
            </w:r>
          </w:p>
        </w:tc>
        <w:tc>
          <w:tcPr>
            <w:tcW w:w="936" w:type="dxa"/>
            <w:tcBorders>
              <w:top w:val="nil"/>
              <w:left w:val="nil"/>
              <w:bottom w:val="single" w:sz="8" w:space="0" w:color="auto"/>
              <w:right w:val="single" w:sz="8" w:space="0" w:color="auto"/>
            </w:tcBorders>
            <w:shd w:val="clear" w:color="auto" w:fill="EDEDED"/>
            <w:tcMar>
              <w:top w:w="0" w:type="dxa"/>
              <w:left w:w="108" w:type="dxa"/>
              <w:bottom w:w="0" w:type="dxa"/>
              <w:right w:w="108" w:type="dxa"/>
            </w:tcMar>
            <w:vAlign w:val="center"/>
            <w:hideMark/>
          </w:tcPr>
          <w:p w14:paraId="7F8EC0F4" w14:textId="77777777" w:rsidR="00724D28" w:rsidRDefault="00724D28">
            <w:pPr>
              <w:jc w:val="center"/>
              <w:rPr>
                <w:color w:val="000000"/>
                <w:lang w:eastAsia="en-CA"/>
              </w:rPr>
            </w:pPr>
            <w:r>
              <w:rPr>
                <w:color w:val="000000"/>
                <w:lang w:eastAsia="en-CA"/>
              </w:rPr>
              <w:t>443</w:t>
            </w:r>
          </w:p>
        </w:tc>
        <w:tc>
          <w:tcPr>
            <w:tcW w:w="1243" w:type="dxa"/>
            <w:tcBorders>
              <w:top w:val="nil"/>
              <w:left w:val="nil"/>
              <w:bottom w:val="single" w:sz="8" w:space="0" w:color="auto"/>
              <w:right w:val="single" w:sz="8" w:space="0" w:color="auto"/>
            </w:tcBorders>
            <w:shd w:val="clear" w:color="auto" w:fill="EDEDED"/>
            <w:tcMar>
              <w:top w:w="0" w:type="dxa"/>
              <w:left w:w="108" w:type="dxa"/>
              <w:bottom w:w="0" w:type="dxa"/>
              <w:right w:w="108" w:type="dxa"/>
            </w:tcMar>
            <w:vAlign w:val="center"/>
            <w:hideMark/>
          </w:tcPr>
          <w:p w14:paraId="228D459B" w14:textId="77777777" w:rsidR="00724D28" w:rsidRDefault="00724D28">
            <w:pPr>
              <w:jc w:val="center"/>
              <w:rPr>
                <w:b/>
                <w:bCs/>
                <w:color w:val="000000"/>
                <w:lang w:eastAsia="en-CA"/>
              </w:rPr>
            </w:pPr>
            <w:r>
              <w:rPr>
                <w:b/>
                <w:bCs/>
                <w:color w:val="000000"/>
                <w:lang w:eastAsia="en-CA"/>
              </w:rPr>
              <w:t>488</w:t>
            </w:r>
          </w:p>
        </w:tc>
        <w:tc>
          <w:tcPr>
            <w:tcW w:w="1166" w:type="dxa"/>
            <w:tcBorders>
              <w:top w:val="nil"/>
              <w:left w:val="nil"/>
              <w:bottom w:val="single" w:sz="8" w:space="0" w:color="auto"/>
              <w:right w:val="single" w:sz="8" w:space="0" w:color="auto"/>
            </w:tcBorders>
            <w:shd w:val="clear" w:color="auto" w:fill="EDEDED"/>
            <w:tcMar>
              <w:top w:w="0" w:type="dxa"/>
              <w:left w:w="108" w:type="dxa"/>
              <w:bottom w:w="0" w:type="dxa"/>
              <w:right w:w="108" w:type="dxa"/>
            </w:tcMar>
            <w:vAlign w:val="center"/>
            <w:hideMark/>
          </w:tcPr>
          <w:p w14:paraId="20B4139E" w14:textId="77777777" w:rsidR="00724D28" w:rsidRDefault="00724D28">
            <w:pPr>
              <w:jc w:val="center"/>
              <w:rPr>
                <w:b/>
                <w:bCs/>
                <w:color w:val="000000"/>
              </w:rPr>
            </w:pPr>
            <w:r>
              <w:rPr>
                <w:b/>
                <w:bCs/>
                <w:color w:val="000000"/>
              </w:rPr>
              <w:t>214</w:t>
            </w:r>
          </w:p>
        </w:tc>
        <w:tc>
          <w:tcPr>
            <w:tcW w:w="1258" w:type="dxa"/>
            <w:tcBorders>
              <w:top w:val="nil"/>
              <w:left w:val="nil"/>
              <w:bottom w:val="single" w:sz="8" w:space="0" w:color="auto"/>
              <w:right w:val="single" w:sz="8" w:space="0" w:color="auto"/>
            </w:tcBorders>
            <w:shd w:val="clear" w:color="auto" w:fill="EDEDED"/>
            <w:tcMar>
              <w:top w:w="0" w:type="dxa"/>
              <w:left w:w="108" w:type="dxa"/>
              <w:bottom w:w="0" w:type="dxa"/>
              <w:right w:w="108" w:type="dxa"/>
            </w:tcMar>
            <w:vAlign w:val="center"/>
            <w:hideMark/>
          </w:tcPr>
          <w:p w14:paraId="376152BD" w14:textId="77777777" w:rsidR="00724D28" w:rsidRDefault="00724D28">
            <w:pPr>
              <w:jc w:val="center"/>
              <w:rPr>
                <w:b/>
                <w:bCs/>
                <w:color w:val="0070C0"/>
              </w:rPr>
            </w:pPr>
            <w:r>
              <w:rPr>
                <w:b/>
                <w:bCs/>
                <w:color w:val="0070C0"/>
              </w:rPr>
              <w:t>44%</w:t>
            </w:r>
          </w:p>
        </w:tc>
      </w:tr>
      <w:tr w:rsidR="00724D28" w14:paraId="296A3DFD" w14:textId="77777777" w:rsidTr="00724D28">
        <w:trPr>
          <w:trHeight w:val="551"/>
        </w:trPr>
        <w:tc>
          <w:tcPr>
            <w:tcW w:w="1304" w:type="dxa"/>
            <w:tcBorders>
              <w:top w:val="nil"/>
              <w:left w:val="single" w:sz="8" w:space="0" w:color="auto"/>
              <w:bottom w:val="single" w:sz="8" w:space="0" w:color="auto"/>
              <w:right w:val="single" w:sz="8" w:space="0" w:color="auto"/>
            </w:tcBorders>
            <w:shd w:val="clear" w:color="auto" w:fill="DBDBDB"/>
            <w:tcMar>
              <w:top w:w="0" w:type="dxa"/>
              <w:left w:w="108" w:type="dxa"/>
              <w:bottom w:w="0" w:type="dxa"/>
              <w:right w:w="108" w:type="dxa"/>
            </w:tcMar>
            <w:vAlign w:val="center"/>
            <w:hideMark/>
          </w:tcPr>
          <w:p w14:paraId="194855E6" w14:textId="77777777" w:rsidR="00724D28" w:rsidRDefault="00724D28">
            <w:pPr>
              <w:jc w:val="center"/>
              <w:rPr>
                <w:b/>
                <w:bCs/>
                <w:color w:val="000000"/>
                <w:lang w:eastAsia="en-CA"/>
              </w:rPr>
            </w:pPr>
            <w:r>
              <w:rPr>
                <w:b/>
                <w:bCs/>
                <w:color w:val="000000"/>
                <w:lang w:eastAsia="en-CA"/>
              </w:rPr>
              <w:t>RPOU(O)</w:t>
            </w:r>
          </w:p>
        </w:tc>
        <w:tc>
          <w:tcPr>
            <w:tcW w:w="1074" w:type="dxa"/>
            <w:tcBorders>
              <w:top w:val="nil"/>
              <w:left w:val="nil"/>
              <w:bottom w:val="single" w:sz="8" w:space="0" w:color="auto"/>
              <w:right w:val="single" w:sz="8" w:space="0" w:color="auto"/>
            </w:tcBorders>
            <w:shd w:val="clear" w:color="auto" w:fill="DBDBDB"/>
            <w:tcMar>
              <w:top w:w="0" w:type="dxa"/>
              <w:left w:w="108" w:type="dxa"/>
              <w:bottom w:w="0" w:type="dxa"/>
              <w:right w:w="108" w:type="dxa"/>
            </w:tcMar>
            <w:vAlign w:val="center"/>
            <w:hideMark/>
          </w:tcPr>
          <w:p w14:paraId="07141061" w14:textId="77777777" w:rsidR="00724D28" w:rsidRDefault="00724D28">
            <w:pPr>
              <w:jc w:val="center"/>
              <w:rPr>
                <w:color w:val="000000"/>
                <w:lang w:eastAsia="en-CA"/>
              </w:rPr>
            </w:pPr>
            <w:r>
              <w:rPr>
                <w:color w:val="000000"/>
                <w:lang w:eastAsia="en-CA"/>
              </w:rPr>
              <w:t>99</w:t>
            </w:r>
          </w:p>
        </w:tc>
        <w:tc>
          <w:tcPr>
            <w:tcW w:w="1074" w:type="dxa"/>
            <w:tcBorders>
              <w:top w:val="nil"/>
              <w:left w:val="nil"/>
              <w:bottom w:val="single" w:sz="8" w:space="0" w:color="auto"/>
              <w:right w:val="single" w:sz="8" w:space="0" w:color="auto"/>
            </w:tcBorders>
            <w:shd w:val="clear" w:color="auto" w:fill="DBDBDB"/>
            <w:tcMar>
              <w:top w:w="0" w:type="dxa"/>
              <w:left w:w="108" w:type="dxa"/>
              <w:bottom w:w="0" w:type="dxa"/>
              <w:right w:w="108" w:type="dxa"/>
            </w:tcMar>
            <w:vAlign w:val="center"/>
            <w:hideMark/>
          </w:tcPr>
          <w:p w14:paraId="27C51914" w14:textId="77777777" w:rsidR="00724D28" w:rsidRDefault="00724D28">
            <w:pPr>
              <w:jc w:val="center"/>
              <w:rPr>
                <w:color w:val="000000"/>
                <w:lang w:eastAsia="en-CA"/>
              </w:rPr>
            </w:pPr>
            <w:r>
              <w:rPr>
                <w:color w:val="000000"/>
                <w:lang w:eastAsia="en-CA"/>
              </w:rPr>
              <w:t>1</w:t>
            </w:r>
          </w:p>
        </w:tc>
        <w:tc>
          <w:tcPr>
            <w:tcW w:w="936" w:type="dxa"/>
            <w:tcBorders>
              <w:top w:val="nil"/>
              <w:left w:val="nil"/>
              <w:bottom w:val="single" w:sz="8" w:space="0" w:color="auto"/>
              <w:right w:val="single" w:sz="8" w:space="0" w:color="auto"/>
            </w:tcBorders>
            <w:shd w:val="clear" w:color="auto" w:fill="DBDBDB"/>
            <w:tcMar>
              <w:top w:w="0" w:type="dxa"/>
              <w:left w:w="108" w:type="dxa"/>
              <w:bottom w:w="0" w:type="dxa"/>
              <w:right w:w="108" w:type="dxa"/>
            </w:tcMar>
            <w:vAlign w:val="center"/>
            <w:hideMark/>
          </w:tcPr>
          <w:p w14:paraId="4F5FE4D0" w14:textId="77777777" w:rsidR="00724D28" w:rsidRDefault="00724D28">
            <w:pPr>
              <w:jc w:val="center"/>
              <w:rPr>
                <w:color w:val="000000"/>
                <w:lang w:eastAsia="en-CA"/>
              </w:rPr>
            </w:pPr>
            <w:r>
              <w:rPr>
                <w:color w:val="000000"/>
                <w:lang w:eastAsia="en-CA"/>
              </w:rPr>
              <w:t>693</w:t>
            </w:r>
          </w:p>
        </w:tc>
        <w:tc>
          <w:tcPr>
            <w:tcW w:w="1243" w:type="dxa"/>
            <w:tcBorders>
              <w:top w:val="nil"/>
              <w:left w:val="nil"/>
              <w:bottom w:val="single" w:sz="8" w:space="0" w:color="auto"/>
              <w:right w:val="single" w:sz="8" w:space="0" w:color="auto"/>
            </w:tcBorders>
            <w:shd w:val="clear" w:color="auto" w:fill="DBDBDB"/>
            <w:tcMar>
              <w:top w:w="0" w:type="dxa"/>
              <w:left w:w="108" w:type="dxa"/>
              <w:bottom w:w="0" w:type="dxa"/>
              <w:right w:w="108" w:type="dxa"/>
            </w:tcMar>
            <w:vAlign w:val="center"/>
            <w:hideMark/>
          </w:tcPr>
          <w:p w14:paraId="2CD9E385" w14:textId="77777777" w:rsidR="00724D28" w:rsidRDefault="00724D28">
            <w:pPr>
              <w:jc w:val="center"/>
              <w:rPr>
                <w:b/>
                <w:bCs/>
                <w:color w:val="000000"/>
                <w:lang w:eastAsia="en-CA"/>
              </w:rPr>
            </w:pPr>
            <w:r>
              <w:rPr>
                <w:b/>
                <w:bCs/>
                <w:color w:val="000000"/>
                <w:lang w:eastAsia="en-CA"/>
              </w:rPr>
              <w:t>793</w:t>
            </w:r>
          </w:p>
        </w:tc>
        <w:tc>
          <w:tcPr>
            <w:tcW w:w="1166" w:type="dxa"/>
            <w:tcBorders>
              <w:top w:val="nil"/>
              <w:left w:val="nil"/>
              <w:bottom w:val="single" w:sz="8" w:space="0" w:color="auto"/>
              <w:right w:val="single" w:sz="8" w:space="0" w:color="auto"/>
            </w:tcBorders>
            <w:shd w:val="clear" w:color="auto" w:fill="DBDBDB"/>
            <w:tcMar>
              <w:top w:w="0" w:type="dxa"/>
              <w:left w:w="108" w:type="dxa"/>
              <w:bottom w:w="0" w:type="dxa"/>
              <w:right w:w="108" w:type="dxa"/>
            </w:tcMar>
            <w:vAlign w:val="center"/>
            <w:hideMark/>
          </w:tcPr>
          <w:p w14:paraId="3DFA24A2" w14:textId="77777777" w:rsidR="00724D28" w:rsidRDefault="00724D28">
            <w:pPr>
              <w:jc w:val="center"/>
              <w:rPr>
                <w:b/>
                <w:bCs/>
                <w:color w:val="000000"/>
              </w:rPr>
            </w:pPr>
            <w:r>
              <w:rPr>
                <w:b/>
                <w:bCs/>
                <w:color w:val="000000"/>
              </w:rPr>
              <w:t>215</w:t>
            </w:r>
          </w:p>
        </w:tc>
        <w:tc>
          <w:tcPr>
            <w:tcW w:w="1258" w:type="dxa"/>
            <w:tcBorders>
              <w:top w:val="nil"/>
              <w:left w:val="nil"/>
              <w:bottom w:val="single" w:sz="8" w:space="0" w:color="auto"/>
              <w:right w:val="single" w:sz="8" w:space="0" w:color="auto"/>
            </w:tcBorders>
            <w:shd w:val="clear" w:color="auto" w:fill="DBDBDB"/>
            <w:tcMar>
              <w:top w:w="0" w:type="dxa"/>
              <w:left w:w="108" w:type="dxa"/>
              <w:bottom w:w="0" w:type="dxa"/>
              <w:right w:w="108" w:type="dxa"/>
            </w:tcMar>
            <w:vAlign w:val="center"/>
            <w:hideMark/>
          </w:tcPr>
          <w:p w14:paraId="405C20FC" w14:textId="77777777" w:rsidR="00724D28" w:rsidRDefault="00724D28">
            <w:pPr>
              <w:jc w:val="center"/>
              <w:rPr>
                <w:b/>
                <w:bCs/>
                <w:color w:val="0070C0"/>
              </w:rPr>
            </w:pPr>
            <w:r>
              <w:rPr>
                <w:b/>
                <w:bCs/>
                <w:color w:val="0070C0"/>
              </w:rPr>
              <w:t>27%</w:t>
            </w:r>
          </w:p>
        </w:tc>
      </w:tr>
      <w:tr w:rsidR="00724D28" w14:paraId="074C808D" w14:textId="77777777" w:rsidTr="00724D28">
        <w:trPr>
          <w:trHeight w:val="552"/>
        </w:trPr>
        <w:tc>
          <w:tcPr>
            <w:tcW w:w="1304" w:type="dxa"/>
            <w:tcBorders>
              <w:top w:val="nil"/>
              <w:left w:val="single" w:sz="8" w:space="0" w:color="auto"/>
              <w:bottom w:val="single" w:sz="8" w:space="0" w:color="auto"/>
              <w:right w:val="single" w:sz="8" w:space="0" w:color="auto"/>
            </w:tcBorders>
            <w:shd w:val="clear" w:color="auto" w:fill="EDEDED"/>
            <w:tcMar>
              <w:top w:w="0" w:type="dxa"/>
              <w:left w:w="108" w:type="dxa"/>
              <w:bottom w:w="0" w:type="dxa"/>
              <w:right w:w="108" w:type="dxa"/>
            </w:tcMar>
            <w:vAlign w:val="center"/>
            <w:hideMark/>
          </w:tcPr>
          <w:p w14:paraId="6BD8CF9A" w14:textId="77777777" w:rsidR="00724D28" w:rsidRDefault="00724D28">
            <w:pPr>
              <w:jc w:val="center"/>
              <w:rPr>
                <w:b/>
                <w:bCs/>
                <w:color w:val="000000"/>
                <w:lang w:eastAsia="en-CA"/>
              </w:rPr>
            </w:pPr>
            <w:r>
              <w:rPr>
                <w:b/>
                <w:bCs/>
                <w:color w:val="000000"/>
                <w:lang w:eastAsia="en-CA"/>
              </w:rPr>
              <w:t>RPOU(W)</w:t>
            </w:r>
          </w:p>
        </w:tc>
        <w:tc>
          <w:tcPr>
            <w:tcW w:w="1074" w:type="dxa"/>
            <w:tcBorders>
              <w:top w:val="nil"/>
              <w:left w:val="nil"/>
              <w:bottom w:val="single" w:sz="8" w:space="0" w:color="auto"/>
              <w:right w:val="single" w:sz="8" w:space="0" w:color="auto"/>
            </w:tcBorders>
            <w:shd w:val="clear" w:color="auto" w:fill="EDEDED"/>
            <w:tcMar>
              <w:top w:w="0" w:type="dxa"/>
              <w:left w:w="108" w:type="dxa"/>
              <w:bottom w:w="0" w:type="dxa"/>
              <w:right w:w="108" w:type="dxa"/>
            </w:tcMar>
            <w:vAlign w:val="center"/>
            <w:hideMark/>
          </w:tcPr>
          <w:p w14:paraId="77A125BA" w14:textId="77777777" w:rsidR="00724D28" w:rsidRDefault="00724D28">
            <w:pPr>
              <w:jc w:val="center"/>
              <w:rPr>
                <w:color w:val="000000"/>
                <w:lang w:eastAsia="en-CA"/>
              </w:rPr>
            </w:pPr>
            <w:r>
              <w:rPr>
                <w:color w:val="000000"/>
                <w:lang w:eastAsia="en-CA"/>
              </w:rPr>
              <w:t>50</w:t>
            </w:r>
          </w:p>
        </w:tc>
        <w:tc>
          <w:tcPr>
            <w:tcW w:w="1074" w:type="dxa"/>
            <w:tcBorders>
              <w:top w:val="nil"/>
              <w:left w:val="nil"/>
              <w:bottom w:val="single" w:sz="8" w:space="0" w:color="auto"/>
              <w:right w:val="single" w:sz="8" w:space="0" w:color="auto"/>
            </w:tcBorders>
            <w:shd w:val="clear" w:color="auto" w:fill="EDEDED"/>
            <w:tcMar>
              <w:top w:w="0" w:type="dxa"/>
              <w:left w:w="108" w:type="dxa"/>
              <w:bottom w:w="0" w:type="dxa"/>
              <w:right w:w="108" w:type="dxa"/>
            </w:tcMar>
            <w:vAlign w:val="center"/>
            <w:hideMark/>
          </w:tcPr>
          <w:p w14:paraId="7C31483A" w14:textId="77777777" w:rsidR="00724D28" w:rsidRDefault="00724D28">
            <w:pPr>
              <w:jc w:val="center"/>
              <w:rPr>
                <w:color w:val="000000"/>
                <w:lang w:eastAsia="en-CA"/>
              </w:rPr>
            </w:pPr>
            <w:r>
              <w:rPr>
                <w:color w:val="000000"/>
                <w:lang w:eastAsia="en-CA"/>
              </w:rPr>
              <w:t>0</w:t>
            </w:r>
          </w:p>
        </w:tc>
        <w:tc>
          <w:tcPr>
            <w:tcW w:w="936" w:type="dxa"/>
            <w:tcBorders>
              <w:top w:val="nil"/>
              <w:left w:val="nil"/>
              <w:bottom w:val="single" w:sz="8" w:space="0" w:color="auto"/>
              <w:right w:val="single" w:sz="8" w:space="0" w:color="auto"/>
            </w:tcBorders>
            <w:shd w:val="clear" w:color="auto" w:fill="EDEDED"/>
            <w:tcMar>
              <w:top w:w="0" w:type="dxa"/>
              <w:left w:w="108" w:type="dxa"/>
              <w:bottom w:w="0" w:type="dxa"/>
              <w:right w:w="108" w:type="dxa"/>
            </w:tcMar>
            <w:vAlign w:val="center"/>
            <w:hideMark/>
          </w:tcPr>
          <w:p w14:paraId="09ACDC6C" w14:textId="77777777" w:rsidR="00724D28" w:rsidRDefault="00724D28">
            <w:pPr>
              <w:jc w:val="center"/>
              <w:rPr>
                <w:color w:val="000000"/>
                <w:lang w:eastAsia="en-CA"/>
              </w:rPr>
            </w:pPr>
            <w:r>
              <w:rPr>
                <w:color w:val="000000"/>
                <w:lang w:eastAsia="en-CA"/>
              </w:rPr>
              <w:t>578</w:t>
            </w:r>
          </w:p>
        </w:tc>
        <w:tc>
          <w:tcPr>
            <w:tcW w:w="1243" w:type="dxa"/>
            <w:tcBorders>
              <w:top w:val="nil"/>
              <w:left w:val="nil"/>
              <w:bottom w:val="single" w:sz="8" w:space="0" w:color="auto"/>
              <w:right w:val="single" w:sz="8" w:space="0" w:color="auto"/>
            </w:tcBorders>
            <w:shd w:val="clear" w:color="auto" w:fill="EDEDED"/>
            <w:tcMar>
              <w:top w:w="0" w:type="dxa"/>
              <w:left w:w="108" w:type="dxa"/>
              <w:bottom w:w="0" w:type="dxa"/>
              <w:right w:w="108" w:type="dxa"/>
            </w:tcMar>
            <w:vAlign w:val="center"/>
            <w:hideMark/>
          </w:tcPr>
          <w:p w14:paraId="4790DEBF" w14:textId="77777777" w:rsidR="00724D28" w:rsidRDefault="00724D28">
            <w:pPr>
              <w:jc w:val="center"/>
              <w:rPr>
                <w:b/>
                <w:bCs/>
                <w:color w:val="000000"/>
                <w:lang w:eastAsia="en-CA"/>
              </w:rPr>
            </w:pPr>
            <w:r>
              <w:rPr>
                <w:b/>
                <w:bCs/>
                <w:color w:val="000000"/>
                <w:lang w:eastAsia="en-CA"/>
              </w:rPr>
              <w:t>628</w:t>
            </w:r>
          </w:p>
        </w:tc>
        <w:tc>
          <w:tcPr>
            <w:tcW w:w="1166" w:type="dxa"/>
            <w:tcBorders>
              <w:top w:val="nil"/>
              <w:left w:val="nil"/>
              <w:bottom w:val="single" w:sz="8" w:space="0" w:color="auto"/>
              <w:right w:val="single" w:sz="8" w:space="0" w:color="auto"/>
            </w:tcBorders>
            <w:shd w:val="clear" w:color="auto" w:fill="EDEDED"/>
            <w:tcMar>
              <w:top w:w="0" w:type="dxa"/>
              <w:left w:w="108" w:type="dxa"/>
              <w:bottom w:w="0" w:type="dxa"/>
              <w:right w:w="108" w:type="dxa"/>
            </w:tcMar>
            <w:vAlign w:val="center"/>
            <w:hideMark/>
          </w:tcPr>
          <w:p w14:paraId="1BBE121E" w14:textId="77777777" w:rsidR="00724D28" w:rsidRDefault="00724D28">
            <w:pPr>
              <w:jc w:val="center"/>
              <w:rPr>
                <w:b/>
                <w:bCs/>
                <w:color w:val="000000"/>
              </w:rPr>
            </w:pPr>
            <w:r>
              <w:rPr>
                <w:b/>
                <w:bCs/>
                <w:color w:val="000000"/>
              </w:rPr>
              <w:t>261</w:t>
            </w:r>
          </w:p>
        </w:tc>
        <w:tc>
          <w:tcPr>
            <w:tcW w:w="1258" w:type="dxa"/>
            <w:tcBorders>
              <w:top w:val="nil"/>
              <w:left w:val="nil"/>
              <w:bottom w:val="single" w:sz="8" w:space="0" w:color="auto"/>
              <w:right w:val="single" w:sz="8" w:space="0" w:color="auto"/>
            </w:tcBorders>
            <w:shd w:val="clear" w:color="auto" w:fill="EDEDED"/>
            <w:tcMar>
              <w:top w:w="0" w:type="dxa"/>
              <w:left w:w="108" w:type="dxa"/>
              <w:bottom w:w="0" w:type="dxa"/>
              <w:right w:w="108" w:type="dxa"/>
            </w:tcMar>
            <w:vAlign w:val="center"/>
            <w:hideMark/>
          </w:tcPr>
          <w:p w14:paraId="65C9BC5F" w14:textId="77777777" w:rsidR="00724D28" w:rsidRDefault="00724D28">
            <w:pPr>
              <w:jc w:val="center"/>
              <w:rPr>
                <w:b/>
                <w:bCs/>
                <w:color w:val="0070C0"/>
              </w:rPr>
            </w:pPr>
            <w:r>
              <w:rPr>
                <w:b/>
                <w:bCs/>
                <w:color w:val="0070C0"/>
              </w:rPr>
              <w:t>42%</w:t>
            </w:r>
          </w:p>
        </w:tc>
      </w:tr>
      <w:tr w:rsidR="00724D28" w14:paraId="69984F8C" w14:textId="77777777" w:rsidTr="00724D28">
        <w:trPr>
          <w:trHeight w:val="551"/>
        </w:trPr>
        <w:tc>
          <w:tcPr>
            <w:tcW w:w="1304" w:type="dxa"/>
            <w:tcBorders>
              <w:top w:val="nil"/>
              <w:left w:val="single" w:sz="8" w:space="0" w:color="auto"/>
              <w:bottom w:val="single" w:sz="8" w:space="0" w:color="auto"/>
              <w:right w:val="single" w:sz="8" w:space="0" w:color="auto"/>
            </w:tcBorders>
            <w:shd w:val="clear" w:color="auto" w:fill="DBDBDB"/>
            <w:tcMar>
              <w:top w:w="0" w:type="dxa"/>
              <w:left w:w="108" w:type="dxa"/>
              <w:bottom w:w="0" w:type="dxa"/>
              <w:right w:w="108" w:type="dxa"/>
            </w:tcMar>
            <w:vAlign w:val="center"/>
            <w:hideMark/>
          </w:tcPr>
          <w:p w14:paraId="1CEC5440" w14:textId="77777777" w:rsidR="00724D28" w:rsidRDefault="00724D28">
            <w:pPr>
              <w:jc w:val="center"/>
              <w:rPr>
                <w:b/>
                <w:bCs/>
                <w:color w:val="000000"/>
                <w:lang w:eastAsia="en-CA"/>
              </w:rPr>
            </w:pPr>
            <w:r>
              <w:rPr>
                <w:b/>
                <w:bCs/>
                <w:color w:val="000000"/>
                <w:lang w:eastAsia="en-CA"/>
              </w:rPr>
              <w:t>RPOU(P)</w:t>
            </w:r>
          </w:p>
        </w:tc>
        <w:tc>
          <w:tcPr>
            <w:tcW w:w="1074" w:type="dxa"/>
            <w:tcBorders>
              <w:top w:val="nil"/>
              <w:left w:val="nil"/>
              <w:bottom w:val="single" w:sz="8" w:space="0" w:color="auto"/>
              <w:right w:val="single" w:sz="8" w:space="0" w:color="auto"/>
            </w:tcBorders>
            <w:shd w:val="clear" w:color="auto" w:fill="DBDBDB"/>
            <w:tcMar>
              <w:top w:w="0" w:type="dxa"/>
              <w:left w:w="108" w:type="dxa"/>
              <w:bottom w:w="0" w:type="dxa"/>
              <w:right w:w="108" w:type="dxa"/>
            </w:tcMar>
            <w:vAlign w:val="center"/>
            <w:hideMark/>
          </w:tcPr>
          <w:p w14:paraId="3168E97A" w14:textId="77777777" w:rsidR="00724D28" w:rsidRDefault="00724D28">
            <w:pPr>
              <w:jc w:val="center"/>
              <w:rPr>
                <w:color w:val="000000"/>
                <w:lang w:eastAsia="en-CA"/>
              </w:rPr>
            </w:pPr>
            <w:r>
              <w:rPr>
                <w:color w:val="000000"/>
                <w:lang w:eastAsia="en-CA"/>
              </w:rPr>
              <w:t>28</w:t>
            </w:r>
          </w:p>
        </w:tc>
        <w:tc>
          <w:tcPr>
            <w:tcW w:w="1074" w:type="dxa"/>
            <w:tcBorders>
              <w:top w:val="nil"/>
              <w:left w:val="nil"/>
              <w:bottom w:val="single" w:sz="8" w:space="0" w:color="auto"/>
              <w:right w:val="single" w:sz="8" w:space="0" w:color="auto"/>
            </w:tcBorders>
            <w:shd w:val="clear" w:color="auto" w:fill="DBDBDB"/>
            <w:tcMar>
              <w:top w:w="0" w:type="dxa"/>
              <w:left w:w="108" w:type="dxa"/>
              <w:bottom w:w="0" w:type="dxa"/>
              <w:right w:w="108" w:type="dxa"/>
            </w:tcMar>
            <w:vAlign w:val="center"/>
            <w:hideMark/>
          </w:tcPr>
          <w:p w14:paraId="20D1B913" w14:textId="77777777" w:rsidR="00724D28" w:rsidRDefault="00724D28">
            <w:pPr>
              <w:jc w:val="center"/>
              <w:rPr>
                <w:color w:val="000000"/>
                <w:lang w:eastAsia="en-CA"/>
              </w:rPr>
            </w:pPr>
            <w:r>
              <w:rPr>
                <w:color w:val="000000"/>
                <w:lang w:eastAsia="en-CA"/>
              </w:rPr>
              <w:t>3</w:t>
            </w:r>
          </w:p>
        </w:tc>
        <w:tc>
          <w:tcPr>
            <w:tcW w:w="936" w:type="dxa"/>
            <w:tcBorders>
              <w:top w:val="nil"/>
              <w:left w:val="nil"/>
              <w:bottom w:val="single" w:sz="8" w:space="0" w:color="auto"/>
              <w:right w:val="single" w:sz="8" w:space="0" w:color="auto"/>
            </w:tcBorders>
            <w:shd w:val="clear" w:color="auto" w:fill="DBDBDB"/>
            <w:tcMar>
              <w:top w:w="0" w:type="dxa"/>
              <w:left w:w="108" w:type="dxa"/>
              <w:bottom w:w="0" w:type="dxa"/>
              <w:right w:w="108" w:type="dxa"/>
            </w:tcMar>
            <w:vAlign w:val="center"/>
            <w:hideMark/>
          </w:tcPr>
          <w:p w14:paraId="28B5D9E2" w14:textId="77777777" w:rsidR="00724D28" w:rsidRDefault="00724D28">
            <w:pPr>
              <w:jc w:val="center"/>
              <w:rPr>
                <w:color w:val="000000"/>
                <w:lang w:eastAsia="en-CA"/>
              </w:rPr>
            </w:pPr>
            <w:r>
              <w:rPr>
                <w:color w:val="000000"/>
                <w:lang w:eastAsia="en-CA"/>
              </w:rPr>
              <w:t>286</w:t>
            </w:r>
          </w:p>
        </w:tc>
        <w:tc>
          <w:tcPr>
            <w:tcW w:w="1243" w:type="dxa"/>
            <w:tcBorders>
              <w:top w:val="nil"/>
              <w:left w:val="nil"/>
              <w:bottom w:val="single" w:sz="8" w:space="0" w:color="auto"/>
              <w:right w:val="single" w:sz="8" w:space="0" w:color="auto"/>
            </w:tcBorders>
            <w:shd w:val="clear" w:color="auto" w:fill="DBDBDB"/>
            <w:tcMar>
              <w:top w:w="0" w:type="dxa"/>
              <w:left w:w="108" w:type="dxa"/>
              <w:bottom w:w="0" w:type="dxa"/>
              <w:right w:w="108" w:type="dxa"/>
            </w:tcMar>
            <w:vAlign w:val="center"/>
            <w:hideMark/>
          </w:tcPr>
          <w:p w14:paraId="63746D9E" w14:textId="77777777" w:rsidR="00724D28" w:rsidRDefault="00724D28">
            <w:pPr>
              <w:jc w:val="center"/>
              <w:rPr>
                <w:b/>
                <w:bCs/>
                <w:color w:val="000000"/>
                <w:lang w:eastAsia="en-CA"/>
              </w:rPr>
            </w:pPr>
            <w:r>
              <w:rPr>
                <w:b/>
                <w:bCs/>
                <w:color w:val="000000"/>
                <w:lang w:eastAsia="en-CA"/>
              </w:rPr>
              <w:t>317</w:t>
            </w:r>
          </w:p>
        </w:tc>
        <w:tc>
          <w:tcPr>
            <w:tcW w:w="1166" w:type="dxa"/>
            <w:tcBorders>
              <w:top w:val="nil"/>
              <w:left w:val="nil"/>
              <w:bottom w:val="single" w:sz="8" w:space="0" w:color="auto"/>
              <w:right w:val="single" w:sz="8" w:space="0" w:color="auto"/>
            </w:tcBorders>
            <w:shd w:val="clear" w:color="auto" w:fill="DBDBDB"/>
            <w:tcMar>
              <w:top w:w="0" w:type="dxa"/>
              <w:left w:w="108" w:type="dxa"/>
              <w:bottom w:w="0" w:type="dxa"/>
              <w:right w:w="108" w:type="dxa"/>
            </w:tcMar>
            <w:vAlign w:val="center"/>
            <w:hideMark/>
          </w:tcPr>
          <w:p w14:paraId="049E4149" w14:textId="77777777" w:rsidR="00724D28" w:rsidRDefault="00724D28">
            <w:pPr>
              <w:jc w:val="center"/>
              <w:rPr>
                <w:b/>
                <w:bCs/>
                <w:color w:val="000000"/>
              </w:rPr>
            </w:pPr>
            <w:r>
              <w:rPr>
                <w:b/>
                <w:bCs/>
                <w:color w:val="000000"/>
              </w:rPr>
              <w:t>133</w:t>
            </w:r>
          </w:p>
        </w:tc>
        <w:tc>
          <w:tcPr>
            <w:tcW w:w="1258" w:type="dxa"/>
            <w:tcBorders>
              <w:top w:val="nil"/>
              <w:left w:val="nil"/>
              <w:bottom w:val="single" w:sz="8" w:space="0" w:color="auto"/>
              <w:right w:val="single" w:sz="8" w:space="0" w:color="auto"/>
            </w:tcBorders>
            <w:shd w:val="clear" w:color="auto" w:fill="DBDBDB"/>
            <w:tcMar>
              <w:top w:w="0" w:type="dxa"/>
              <w:left w:w="108" w:type="dxa"/>
              <w:bottom w:w="0" w:type="dxa"/>
              <w:right w:w="108" w:type="dxa"/>
            </w:tcMar>
            <w:vAlign w:val="center"/>
            <w:hideMark/>
          </w:tcPr>
          <w:p w14:paraId="463B3CCD" w14:textId="77777777" w:rsidR="00724D28" w:rsidRDefault="00724D28">
            <w:pPr>
              <w:jc w:val="center"/>
              <w:rPr>
                <w:b/>
                <w:bCs/>
                <w:color w:val="0070C0"/>
              </w:rPr>
            </w:pPr>
            <w:r>
              <w:rPr>
                <w:b/>
                <w:bCs/>
                <w:color w:val="0070C0"/>
              </w:rPr>
              <w:t>42%</w:t>
            </w:r>
          </w:p>
        </w:tc>
      </w:tr>
      <w:tr w:rsidR="00724D28" w14:paraId="0F0B2875" w14:textId="77777777" w:rsidTr="00724D28">
        <w:trPr>
          <w:trHeight w:val="552"/>
        </w:trPr>
        <w:tc>
          <w:tcPr>
            <w:tcW w:w="1304" w:type="dxa"/>
            <w:tcBorders>
              <w:top w:val="nil"/>
              <w:left w:val="single" w:sz="8" w:space="0" w:color="auto"/>
              <w:bottom w:val="single" w:sz="8" w:space="0" w:color="auto"/>
              <w:right w:val="single" w:sz="8" w:space="0" w:color="auto"/>
            </w:tcBorders>
            <w:shd w:val="clear" w:color="auto" w:fill="EDEDED"/>
            <w:tcMar>
              <w:top w:w="0" w:type="dxa"/>
              <w:left w:w="108" w:type="dxa"/>
              <w:bottom w:w="0" w:type="dxa"/>
              <w:right w:w="108" w:type="dxa"/>
            </w:tcMar>
            <w:vAlign w:val="center"/>
            <w:hideMark/>
          </w:tcPr>
          <w:p w14:paraId="1330AE37" w14:textId="77777777" w:rsidR="00724D28" w:rsidRDefault="00724D28">
            <w:pPr>
              <w:jc w:val="center"/>
              <w:rPr>
                <w:b/>
                <w:bCs/>
                <w:color w:val="000000"/>
                <w:lang w:eastAsia="en-CA"/>
              </w:rPr>
            </w:pPr>
            <w:r>
              <w:rPr>
                <w:b/>
                <w:bCs/>
                <w:color w:val="000000"/>
                <w:lang w:eastAsia="en-CA"/>
              </w:rPr>
              <w:t>RP Ops(C)</w:t>
            </w:r>
          </w:p>
        </w:tc>
        <w:tc>
          <w:tcPr>
            <w:tcW w:w="1074" w:type="dxa"/>
            <w:tcBorders>
              <w:top w:val="nil"/>
              <w:left w:val="nil"/>
              <w:bottom w:val="single" w:sz="8" w:space="0" w:color="auto"/>
              <w:right w:val="single" w:sz="8" w:space="0" w:color="auto"/>
            </w:tcBorders>
            <w:shd w:val="clear" w:color="auto" w:fill="EDEDED"/>
            <w:tcMar>
              <w:top w:w="0" w:type="dxa"/>
              <w:left w:w="108" w:type="dxa"/>
              <w:bottom w:w="0" w:type="dxa"/>
              <w:right w:w="108" w:type="dxa"/>
            </w:tcMar>
            <w:vAlign w:val="center"/>
            <w:hideMark/>
          </w:tcPr>
          <w:p w14:paraId="4D982D3A" w14:textId="77777777" w:rsidR="00724D28" w:rsidRDefault="00724D28">
            <w:pPr>
              <w:jc w:val="center"/>
              <w:rPr>
                <w:color w:val="000000"/>
                <w:lang w:eastAsia="en-CA"/>
              </w:rPr>
            </w:pPr>
            <w:r>
              <w:rPr>
                <w:color w:val="000000"/>
                <w:lang w:eastAsia="en-CA"/>
              </w:rPr>
              <w:t>12</w:t>
            </w:r>
          </w:p>
        </w:tc>
        <w:tc>
          <w:tcPr>
            <w:tcW w:w="1074" w:type="dxa"/>
            <w:tcBorders>
              <w:top w:val="nil"/>
              <w:left w:val="nil"/>
              <w:bottom w:val="single" w:sz="8" w:space="0" w:color="auto"/>
              <w:right w:val="single" w:sz="8" w:space="0" w:color="auto"/>
            </w:tcBorders>
            <w:shd w:val="clear" w:color="auto" w:fill="EDEDED"/>
            <w:tcMar>
              <w:top w:w="0" w:type="dxa"/>
              <w:left w:w="108" w:type="dxa"/>
              <w:bottom w:w="0" w:type="dxa"/>
              <w:right w:w="108" w:type="dxa"/>
            </w:tcMar>
            <w:vAlign w:val="center"/>
            <w:hideMark/>
          </w:tcPr>
          <w:p w14:paraId="620BDB37" w14:textId="77777777" w:rsidR="00724D28" w:rsidRDefault="00724D28">
            <w:pPr>
              <w:jc w:val="center"/>
              <w:rPr>
                <w:color w:val="000000"/>
                <w:lang w:eastAsia="en-CA"/>
              </w:rPr>
            </w:pPr>
            <w:r>
              <w:rPr>
                <w:color w:val="000000"/>
                <w:lang w:eastAsia="en-CA"/>
              </w:rPr>
              <w:t>0</w:t>
            </w:r>
          </w:p>
        </w:tc>
        <w:tc>
          <w:tcPr>
            <w:tcW w:w="936" w:type="dxa"/>
            <w:tcBorders>
              <w:top w:val="nil"/>
              <w:left w:val="nil"/>
              <w:bottom w:val="single" w:sz="8" w:space="0" w:color="auto"/>
              <w:right w:val="single" w:sz="8" w:space="0" w:color="auto"/>
            </w:tcBorders>
            <w:shd w:val="clear" w:color="auto" w:fill="EDEDED"/>
            <w:tcMar>
              <w:top w:w="0" w:type="dxa"/>
              <w:left w:w="108" w:type="dxa"/>
              <w:bottom w:w="0" w:type="dxa"/>
              <w:right w:w="108" w:type="dxa"/>
            </w:tcMar>
            <w:vAlign w:val="center"/>
            <w:hideMark/>
          </w:tcPr>
          <w:p w14:paraId="7BE5C251" w14:textId="77777777" w:rsidR="00724D28" w:rsidRDefault="00724D28">
            <w:pPr>
              <w:jc w:val="center"/>
              <w:rPr>
                <w:color w:val="000000"/>
                <w:lang w:eastAsia="en-CA"/>
              </w:rPr>
            </w:pPr>
            <w:r>
              <w:rPr>
                <w:color w:val="000000"/>
                <w:lang w:eastAsia="en-CA"/>
              </w:rPr>
              <w:t>11</w:t>
            </w:r>
          </w:p>
        </w:tc>
        <w:tc>
          <w:tcPr>
            <w:tcW w:w="1243" w:type="dxa"/>
            <w:tcBorders>
              <w:top w:val="nil"/>
              <w:left w:val="nil"/>
              <w:bottom w:val="single" w:sz="8" w:space="0" w:color="auto"/>
              <w:right w:val="single" w:sz="8" w:space="0" w:color="auto"/>
            </w:tcBorders>
            <w:shd w:val="clear" w:color="auto" w:fill="EDEDED"/>
            <w:tcMar>
              <w:top w:w="0" w:type="dxa"/>
              <w:left w:w="108" w:type="dxa"/>
              <w:bottom w:w="0" w:type="dxa"/>
              <w:right w:w="108" w:type="dxa"/>
            </w:tcMar>
            <w:vAlign w:val="center"/>
            <w:hideMark/>
          </w:tcPr>
          <w:p w14:paraId="385C8880" w14:textId="77777777" w:rsidR="00724D28" w:rsidRDefault="00724D28">
            <w:pPr>
              <w:jc w:val="center"/>
              <w:rPr>
                <w:b/>
                <w:bCs/>
                <w:color w:val="000000"/>
                <w:lang w:eastAsia="en-CA"/>
              </w:rPr>
            </w:pPr>
            <w:r>
              <w:rPr>
                <w:b/>
                <w:bCs/>
                <w:color w:val="000000"/>
                <w:lang w:eastAsia="en-CA"/>
              </w:rPr>
              <w:t>23</w:t>
            </w:r>
          </w:p>
        </w:tc>
        <w:tc>
          <w:tcPr>
            <w:tcW w:w="1166" w:type="dxa"/>
            <w:tcBorders>
              <w:top w:val="nil"/>
              <w:left w:val="nil"/>
              <w:bottom w:val="single" w:sz="8" w:space="0" w:color="auto"/>
              <w:right w:val="single" w:sz="8" w:space="0" w:color="auto"/>
            </w:tcBorders>
            <w:shd w:val="clear" w:color="auto" w:fill="EDEDED"/>
            <w:tcMar>
              <w:top w:w="0" w:type="dxa"/>
              <w:left w:w="108" w:type="dxa"/>
              <w:bottom w:w="0" w:type="dxa"/>
              <w:right w:w="108" w:type="dxa"/>
            </w:tcMar>
            <w:vAlign w:val="center"/>
            <w:hideMark/>
          </w:tcPr>
          <w:p w14:paraId="50ED5FB4" w14:textId="77777777" w:rsidR="00724D28" w:rsidRDefault="00724D28">
            <w:pPr>
              <w:jc w:val="center"/>
              <w:rPr>
                <w:b/>
                <w:bCs/>
                <w:color w:val="000000"/>
              </w:rPr>
            </w:pPr>
            <w:r>
              <w:rPr>
                <w:b/>
                <w:bCs/>
                <w:color w:val="000000"/>
              </w:rPr>
              <w:t>14</w:t>
            </w:r>
          </w:p>
        </w:tc>
        <w:tc>
          <w:tcPr>
            <w:tcW w:w="1258" w:type="dxa"/>
            <w:tcBorders>
              <w:top w:val="nil"/>
              <w:left w:val="nil"/>
              <w:bottom w:val="single" w:sz="8" w:space="0" w:color="auto"/>
              <w:right w:val="single" w:sz="8" w:space="0" w:color="auto"/>
            </w:tcBorders>
            <w:shd w:val="clear" w:color="auto" w:fill="EDEDED"/>
            <w:tcMar>
              <w:top w:w="0" w:type="dxa"/>
              <w:left w:w="108" w:type="dxa"/>
              <w:bottom w:w="0" w:type="dxa"/>
              <w:right w:w="108" w:type="dxa"/>
            </w:tcMar>
            <w:vAlign w:val="center"/>
            <w:hideMark/>
          </w:tcPr>
          <w:p w14:paraId="3D7D67FD" w14:textId="77777777" w:rsidR="00724D28" w:rsidRDefault="00724D28">
            <w:pPr>
              <w:jc w:val="center"/>
              <w:rPr>
                <w:b/>
                <w:bCs/>
                <w:color w:val="0070C0"/>
              </w:rPr>
            </w:pPr>
            <w:r>
              <w:rPr>
                <w:b/>
                <w:bCs/>
                <w:color w:val="0070C0"/>
              </w:rPr>
              <w:t>61%</w:t>
            </w:r>
          </w:p>
        </w:tc>
      </w:tr>
      <w:tr w:rsidR="00724D28" w14:paraId="325697F0" w14:textId="77777777" w:rsidTr="00724D28">
        <w:trPr>
          <w:trHeight w:val="551"/>
        </w:trPr>
        <w:tc>
          <w:tcPr>
            <w:tcW w:w="1304" w:type="dxa"/>
            <w:tcBorders>
              <w:top w:val="nil"/>
              <w:left w:val="single" w:sz="8" w:space="0" w:color="auto"/>
              <w:bottom w:val="single" w:sz="8" w:space="0" w:color="auto"/>
              <w:right w:val="single" w:sz="8" w:space="0" w:color="auto"/>
            </w:tcBorders>
            <w:shd w:val="clear" w:color="auto" w:fill="DBDBDB"/>
            <w:tcMar>
              <w:top w:w="0" w:type="dxa"/>
              <w:left w:w="108" w:type="dxa"/>
              <w:bottom w:w="0" w:type="dxa"/>
              <w:right w:w="108" w:type="dxa"/>
            </w:tcMar>
            <w:vAlign w:val="center"/>
            <w:hideMark/>
          </w:tcPr>
          <w:p w14:paraId="3A1BD849" w14:textId="77777777" w:rsidR="00724D28" w:rsidRDefault="00724D28">
            <w:pPr>
              <w:jc w:val="center"/>
              <w:rPr>
                <w:b/>
                <w:bCs/>
                <w:color w:val="000000"/>
                <w:lang w:eastAsia="en-CA"/>
              </w:rPr>
            </w:pPr>
            <w:r>
              <w:rPr>
                <w:b/>
                <w:bCs/>
                <w:color w:val="000000"/>
                <w:lang w:eastAsia="en-CA"/>
              </w:rPr>
              <w:t>RP Ops(N)</w:t>
            </w:r>
          </w:p>
        </w:tc>
        <w:tc>
          <w:tcPr>
            <w:tcW w:w="1074" w:type="dxa"/>
            <w:tcBorders>
              <w:top w:val="nil"/>
              <w:left w:val="nil"/>
              <w:bottom w:val="single" w:sz="8" w:space="0" w:color="auto"/>
              <w:right w:val="single" w:sz="8" w:space="0" w:color="auto"/>
            </w:tcBorders>
            <w:shd w:val="clear" w:color="auto" w:fill="DBDBDB"/>
            <w:tcMar>
              <w:top w:w="0" w:type="dxa"/>
              <w:left w:w="108" w:type="dxa"/>
              <w:bottom w:w="0" w:type="dxa"/>
              <w:right w:w="108" w:type="dxa"/>
            </w:tcMar>
            <w:vAlign w:val="center"/>
            <w:hideMark/>
          </w:tcPr>
          <w:p w14:paraId="594542CF" w14:textId="77777777" w:rsidR="00724D28" w:rsidRDefault="00724D28">
            <w:pPr>
              <w:jc w:val="center"/>
              <w:rPr>
                <w:color w:val="000000"/>
                <w:lang w:eastAsia="en-CA"/>
              </w:rPr>
            </w:pPr>
            <w:r>
              <w:rPr>
                <w:color w:val="000000"/>
                <w:lang w:eastAsia="en-CA"/>
              </w:rPr>
              <w:t>10</w:t>
            </w:r>
          </w:p>
        </w:tc>
        <w:tc>
          <w:tcPr>
            <w:tcW w:w="1074" w:type="dxa"/>
            <w:tcBorders>
              <w:top w:val="nil"/>
              <w:left w:val="nil"/>
              <w:bottom w:val="single" w:sz="8" w:space="0" w:color="auto"/>
              <w:right w:val="single" w:sz="8" w:space="0" w:color="auto"/>
            </w:tcBorders>
            <w:shd w:val="clear" w:color="auto" w:fill="DBDBDB"/>
            <w:tcMar>
              <w:top w:w="0" w:type="dxa"/>
              <w:left w:w="108" w:type="dxa"/>
              <w:bottom w:w="0" w:type="dxa"/>
              <w:right w:w="108" w:type="dxa"/>
            </w:tcMar>
            <w:vAlign w:val="center"/>
            <w:hideMark/>
          </w:tcPr>
          <w:p w14:paraId="5120D451" w14:textId="77777777" w:rsidR="00724D28" w:rsidRDefault="00724D28">
            <w:pPr>
              <w:jc w:val="center"/>
              <w:rPr>
                <w:color w:val="000000"/>
                <w:lang w:eastAsia="en-CA"/>
              </w:rPr>
            </w:pPr>
            <w:r>
              <w:rPr>
                <w:color w:val="000000"/>
                <w:lang w:eastAsia="en-CA"/>
              </w:rPr>
              <w:t>0</w:t>
            </w:r>
          </w:p>
        </w:tc>
        <w:tc>
          <w:tcPr>
            <w:tcW w:w="936" w:type="dxa"/>
            <w:tcBorders>
              <w:top w:val="nil"/>
              <w:left w:val="nil"/>
              <w:bottom w:val="single" w:sz="8" w:space="0" w:color="auto"/>
              <w:right w:val="single" w:sz="8" w:space="0" w:color="auto"/>
            </w:tcBorders>
            <w:shd w:val="clear" w:color="auto" w:fill="DBDBDB"/>
            <w:tcMar>
              <w:top w:w="0" w:type="dxa"/>
              <w:left w:w="108" w:type="dxa"/>
              <w:bottom w:w="0" w:type="dxa"/>
              <w:right w:w="108" w:type="dxa"/>
            </w:tcMar>
            <w:vAlign w:val="center"/>
            <w:hideMark/>
          </w:tcPr>
          <w:p w14:paraId="737E0E73" w14:textId="77777777" w:rsidR="00724D28" w:rsidRDefault="00724D28">
            <w:pPr>
              <w:jc w:val="center"/>
              <w:rPr>
                <w:color w:val="000000"/>
                <w:lang w:eastAsia="en-CA"/>
              </w:rPr>
            </w:pPr>
            <w:r>
              <w:rPr>
                <w:color w:val="000000"/>
                <w:lang w:eastAsia="en-CA"/>
              </w:rPr>
              <w:t>17</w:t>
            </w:r>
          </w:p>
        </w:tc>
        <w:tc>
          <w:tcPr>
            <w:tcW w:w="1243" w:type="dxa"/>
            <w:tcBorders>
              <w:top w:val="nil"/>
              <w:left w:val="nil"/>
              <w:bottom w:val="single" w:sz="8" w:space="0" w:color="auto"/>
              <w:right w:val="single" w:sz="8" w:space="0" w:color="auto"/>
            </w:tcBorders>
            <w:shd w:val="clear" w:color="auto" w:fill="DBDBDB"/>
            <w:tcMar>
              <w:top w:w="0" w:type="dxa"/>
              <w:left w:w="108" w:type="dxa"/>
              <w:bottom w:w="0" w:type="dxa"/>
              <w:right w:w="108" w:type="dxa"/>
            </w:tcMar>
            <w:vAlign w:val="center"/>
            <w:hideMark/>
          </w:tcPr>
          <w:p w14:paraId="45FD489D" w14:textId="77777777" w:rsidR="00724D28" w:rsidRDefault="00724D28">
            <w:pPr>
              <w:jc w:val="center"/>
              <w:rPr>
                <w:b/>
                <w:bCs/>
                <w:color w:val="000000"/>
                <w:lang w:eastAsia="en-CA"/>
              </w:rPr>
            </w:pPr>
            <w:r>
              <w:rPr>
                <w:b/>
                <w:bCs/>
                <w:color w:val="000000"/>
                <w:lang w:eastAsia="en-CA"/>
              </w:rPr>
              <w:t>27</w:t>
            </w:r>
          </w:p>
        </w:tc>
        <w:tc>
          <w:tcPr>
            <w:tcW w:w="1166" w:type="dxa"/>
            <w:tcBorders>
              <w:top w:val="nil"/>
              <w:left w:val="nil"/>
              <w:bottom w:val="single" w:sz="8" w:space="0" w:color="auto"/>
              <w:right w:val="single" w:sz="8" w:space="0" w:color="auto"/>
            </w:tcBorders>
            <w:shd w:val="clear" w:color="auto" w:fill="DBDBDB"/>
            <w:tcMar>
              <w:top w:w="0" w:type="dxa"/>
              <w:left w:w="108" w:type="dxa"/>
              <w:bottom w:w="0" w:type="dxa"/>
              <w:right w:w="108" w:type="dxa"/>
            </w:tcMar>
            <w:vAlign w:val="center"/>
            <w:hideMark/>
          </w:tcPr>
          <w:p w14:paraId="20D78C2C" w14:textId="77777777" w:rsidR="00724D28" w:rsidRDefault="00724D28">
            <w:pPr>
              <w:jc w:val="center"/>
              <w:rPr>
                <w:b/>
                <w:bCs/>
                <w:color w:val="000000"/>
              </w:rPr>
            </w:pPr>
            <w:r>
              <w:rPr>
                <w:b/>
                <w:bCs/>
                <w:color w:val="000000"/>
              </w:rPr>
              <w:t>17</w:t>
            </w:r>
          </w:p>
        </w:tc>
        <w:tc>
          <w:tcPr>
            <w:tcW w:w="1258" w:type="dxa"/>
            <w:tcBorders>
              <w:top w:val="nil"/>
              <w:left w:val="nil"/>
              <w:bottom w:val="single" w:sz="8" w:space="0" w:color="auto"/>
              <w:right w:val="single" w:sz="8" w:space="0" w:color="auto"/>
            </w:tcBorders>
            <w:shd w:val="clear" w:color="auto" w:fill="DBDBDB"/>
            <w:tcMar>
              <w:top w:w="0" w:type="dxa"/>
              <w:left w:w="108" w:type="dxa"/>
              <w:bottom w:w="0" w:type="dxa"/>
              <w:right w:w="108" w:type="dxa"/>
            </w:tcMar>
            <w:vAlign w:val="center"/>
            <w:hideMark/>
          </w:tcPr>
          <w:p w14:paraId="0829455C" w14:textId="77777777" w:rsidR="00724D28" w:rsidRDefault="00724D28">
            <w:pPr>
              <w:jc w:val="center"/>
              <w:rPr>
                <w:b/>
                <w:bCs/>
                <w:color w:val="0070C0"/>
              </w:rPr>
            </w:pPr>
            <w:r>
              <w:rPr>
                <w:b/>
                <w:bCs/>
                <w:color w:val="0070C0"/>
              </w:rPr>
              <w:t>63%</w:t>
            </w:r>
          </w:p>
        </w:tc>
      </w:tr>
      <w:tr w:rsidR="00724D28" w14:paraId="0DCA5AFC" w14:textId="77777777" w:rsidTr="00724D28">
        <w:trPr>
          <w:trHeight w:val="552"/>
        </w:trPr>
        <w:tc>
          <w:tcPr>
            <w:tcW w:w="1304" w:type="dxa"/>
            <w:tcBorders>
              <w:top w:val="nil"/>
              <w:left w:val="single" w:sz="8" w:space="0" w:color="auto"/>
              <w:bottom w:val="single" w:sz="8" w:space="0" w:color="auto"/>
              <w:right w:val="single" w:sz="8" w:space="0" w:color="auto"/>
            </w:tcBorders>
            <w:shd w:val="clear" w:color="auto" w:fill="7B7B7B"/>
            <w:tcMar>
              <w:top w:w="0" w:type="dxa"/>
              <w:left w:w="108" w:type="dxa"/>
              <w:bottom w:w="0" w:type="dxa"/>
              <w:right w:w="108" w:type="dxa"/>
            </w:tcMar>
            <w:vAlign w:val="center"/>
            <w:hideMark/>
          </w:tcPr>
          <w:p w14:paraId="3F0FB0E6" w14:textId="77777777" w:rsidR="00724D28" w:rsidRDefault="00724D28">
            <w:pPr>
              <w:jc w:val="center"/>
              <w:rPr>
                <w:b/>
                <w:bCs/>
                <w:color w:val="FFFF00"/>
                <w:sz w:val="40"/>
                <w:szCs w:val="40"/>
                <w:lang w:eastAsia="en-CA"/>
              </w:rPr>
            </w:pPr>
            <w:r>
              <w:rPr>
                <w:b/>
                <w:bCs/>
                <w:color w:val="FFFF00"/>
                <w:sz w:val="40"/>
                <w:szCs w:val="40"/>
                <w:lang w:eastAsia="en-CA"/>
              </w:rPr>
              <w:t>TOTAL</w:t>
            </w:r>
          </w:p>
        </w:tc>
        <w:tc>
          <w:tcPr>
            <w:tcW w:w="1074" w:type="dxa"/>
            <w:tcBorders>
              <w:top w:val="nil"/>
              <w:left w:val="nil"/>
              <w:bottom w:val="single" w:sz="8" w:space="0" w:color="auto"/>
              <w:right w:val="single" w:sz="8" w:space="0" w:color="auto"/>
            </w:tcBorders>
            <w:shd w:val="clear" w:color="auto" w:fill="7B7B7B"/>
            <w:tcMar>
              <w:top w:w="0" w:type="dxa"/>
              <w:left w:w="108" w:type="dxa"/>
              <w:bottom w:w="0" w:type="dxa"/>
              <w:right w:w="108" w:type="dxa"/>
            </w:tcMar>
            <w:vAlign w:val="center"/>
            <w:hideMark/>
          </w:tcPr>
          <w:p w14:paraId="580231CF" w14:textId="77777777" w:rsidR="00724D28" w:rsidRDefault="00724D28">
            <w:pPr>
              <w:jc w:val="center"/>
              <w:rPr>
                <w:b/>
                <w:bCs/>
                <w:color w:val="FFFF00"/>
                <w:sz w:val="22"/>
                <w:lang w:eastAsia="en-CA"/>
              </w:rPr>
            </w:pPr>
            <w:r>
              <w:rPr>
                <w:b/>
                <w:bCs/>
                <w:color w:val="FFFF00"/>
                <w:lang w:eastAsia="en-CA"/>
              </w:rPr>
              <w:t>337</w:t>
            </w:r>
          </w:p>
        </w:tc>
        <w:tc>
          <w:tcPr>
            <w:tcW w:w="1074" w:type="dxa"/>
            <w:tcBorders>
              <w:top w:val="nil"/>
              <w:left w:val="nil"/>
              <w:bottom w:val="single" w:sz="8" w:space="0" w:color="auto"/>
              <w:right w:val="single" w:sz="8" w:space="0" w:color="auto"/>
            </w:tcBorders>
            <w:shd w:val="clear" w:color="auto" w:fill="7B7B7B"/>
            <w:tcMar>
              <w:top w:w="0" w:type="dxa"/>
              <w:left w:w="108" w:type="dxa"/>
              <w:bottom w:w="0" w:type="dxa"/>
              <w:right w:w="108" w:type="dxa"/>
            </w:tcMar>
            <w:vAlign w:val="center"/>
            <w:hideMark/>
          </w:tcPr>
          <w:p w14:paraId="673DAC43" w14:textId="77777777" w:rsidR="00724D28" w:rsidRDefault="00724D28">
            <w:pPr>
              <w:jc w:val="center"/>
              <w:rPr>
                <w:b/>
                <w:bCs/>
                <w:color w:val="FFFF00"/>
                <w:szCs w:val="24"/>
                <w:lang w:eastAsia="en-CA"/>
              </w:rPr>
            </w:pPr>
            <w:r>
              <w:rPr>
                <w:b/>
                <w:bCs/>
                <w:color w:val="FFFF00"/>
                <w:lang w:eastAsia="en-CA"/>
              </w:rPr>
              <w:t>9</w:t>
            </w:r>
          </w:p>
        </w:tc>
        <w:tc>
          <w:tcPr>
            <w:tcW w:w="936" w:type="dxa"/>
            <w:tcBorders>
              <w:top w:val="nil"/>
              <w:left w:val="nil"/>
              <w:bottom w:val="single" w:sz="8" w:space="0" w:color="auto"/>
              <w:right w:val="single" w:sz="8" w:space="0" w:color="auto"/>
            </w:tcBorders>
            <w:shd w:val="clear" w:color="auto" w:fill="7B7B7B"/>
            <w:tcMar>
              <w:top w:w="0" w:type="dxa"/>
              <w:left w:w="108" w:type="dxa"/>
              <w:bottom w:w="0" w:type="dxa"/>
              <w:right w:w="108" w:type="dxa"/>
            </w:tcMar>
            <w:vAlign w:val="center"/>
            <w:hideMark/>
          </w:tcPr>
          <w:p w14:paraId="44066CEB" w14:textId="77777777" w:rsidR="00724D28" w:rsidRDefault="00724D28">
            <w:pPr>
              <w:jc w:val="center"/>
              <w:rPr>
                <w:b/>
                <w:bCs/>
                <w:color w:val="FFFF00"/>
                <w:sz w:val="22"/>
                <w:lang w:eastAsia="en-CA"/>
              </w:rPr>
            </w:pPr>
            <w:r>
              <w:rPr>
                <w:b/>
                <w:bCs/>
                <w:color w:val="FFFF00"/>
                <w:lang w:eastAsia="en-CA"/>
              </w:rPr>
              <w:t>2649</w:t>
            </w:r>
          </w:p>
        </w:tc>
        <w:tc>
          <w:tcPr>
            <w:tcW w:w="1243" w:type="dxa"/>
            <w:tcBorders>
              <w:top w:val="nil"/>
              <w:left w:val="nil"/>
              <w:bottom w:val="single" w:sz="8" w:space="0" w:color="auto"/>
              <w:right w:val="single" w:sz="8" w:space="0" w:color="auto"/>
            </w:tcBorders>
            <w:shd w:val="clear" w:color="auto" w:fill="7B7B7B"/>
            <w:tcMar>
              <w:top w:w="0" w:type="dxa"/>
              <w:left w:w="108" w:type="dxa"/>
              <w:bottom w:w="0" w:type="dxa"/>
              <w:right w:w="108" w:type="dxa"/>
            </w:tcMar>
            <w:vAlign w:val="center"/>
            <w:hideMark/>
          </w:tcPr>
          <w:p w14:paraId="458D4066" w14:textId="77777777" w:rsidR="00724D28" w:rsidRDefault="00724D28">
            <w:pPr>
              <w:jc w:val="center"/>
              <w:rPr>
                <w:b/>
                <w:bCs/>
                <w:color w:val="FFFF00"/>
                <w:lang w:eastAsia="en-CA"/>
              </w:rPr>
            </w:pPr>
            <w:r>
              <w:rPr>
                <w:b/>
                <w:bCs/>
                <w:color w:val="FFFF00"/>
                <w:lang w:eastAsia="en-CA"/>
              </w:rPr>
              <w:t>2995</w:t>
            </w:r>
          </w:p>
        </w:tc>
        <w:tc>
          <w:tcPr>
            <w:tcW w:w="1166" w:type="dxa"/>
            <w:tcBorders>
              <w:top w:val="nil"/>
              <w:left w:val="nil"/>
              <w:bottom w:val="single" w:sz="8" w:space="0" w:color="auto"/>
              <w:right w:val="single" w:sz="8" w:space="0" w:color="auto"/>
            </w:tcBorders>
            <w:shd w:val="clear" w:color="auto" w:fill="FF0000"/>
            <w:tcMar>
              <w:top w:w="0" w:type="dxa"/>
              <w:left w:w="108" w:type="dxa"/>
              <w:bottom w:w="0" w:type="dxa"/>
              <w:right w:w="108" w:type="dxa"/>
            </w:tcMar>
            <w:vAlign w:val="center"/>
            <w:hideMark/>
          </w:tcPr>
          <w:p w14:paraId="56EC5867" w14:textId="77777777" w:rsidR="00724D28" w:rsidRDefault="00724D28">
            <w:pPr>
              <w:jc w:val="center"/>
              <w:rPr>
                <w:b/>
                <w:bCs/>
                <w:color w:val="FFFF00"/>
                <w:sz w:val="44"/>
                <w:szCs w:val="44"/>
              </w:rPr>
            </w:pPr>
            <w:r>
              <w:rPr>
                <w:b/>
                <w:bCs/>
                <w:color w:val="FFFF00"/>
                <w:sz w:val="44"/>
                <w:szCs w:val="44"/>
              </w:rPr>
              <w:t>983</w:t>
            </w:r>
          </w:p>
        </w:tc>
        <w:tc>
          <w:tcPr>
            <w:tcW w:w="1258" w:type="dxa"/>
            <w:tcBorders>
              <w:top w:val="nil"/>
              <w:left w:val="nil"/>
              <w:bottom w:val="single" w:sz="8" w:space="0" w:color="auto"/>
              <w:right w:val="single" w:sz="8" w:space="0" w:color="auto"/>
            </w:tcBorders>
            <w:shd w:val="clear" w:color="auto" w:fill="7B7B7B"/>
            <w:tcMar>
              <w:top w:w="0" w:type="dxa"/>
              <w:left w:w="108" w:type="dxa"/>
              <w:bottom w:w="0" w:type="dxa"/>
              <w:right w:w="108" w:type="dxa"/>
            </w:tcMar>
            <w:vAlign w:val="center"/>
            <w:hideMark/>
          </w:tcPr>
          <w:p w14:paraId="44084EF8" w14:textId="77777777" w:rsidR="00724D28" w:rsidRDefault="00724D28">
            <w:pPr>
              <w:jc w:val="center"/>
              <w:rPr>
                <w:b/>
                <w:bCs/>
                <w:color w:val="FFFF00"/>
                <w:sz w:val="22"/>
              </w:rPr>
            </w:pPr>
            <w:r>
              <w:rPr>
                <w:b/>
                <w:bCs/>
                <w:color w:val="FFFF00"/>
              </w:rPr>
              <w:t>N/A</w:t>
            </w:r>
          </w:p>
        </w:tc>
      </w:tr>
    </w:tbl>
    <w:p w14:paraId="271135B0" w14:textId="77777777" w:rsidR="00724D28" w:rsidRDefault="00724D28" w:rsidP="00724D28">
      <w:pPr>
        <w:pStyle w:val="Defaul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A4566FF" w14:textId="77777777" w:rsidR="00724D28" w:rsidRDefault="00724D28" w:rsidP="00724D28">
      <w:pPr>
        <w:pStyle w:val="Default"/>
        <w:rPr>
          <w:rFonts w:ascii="Times New Roman" w:eastAsia="Times New Roman" w:hAnsi="Times New Roman" w:cs="Times New Roman"/>
          <w:sz w:val="24"/>
          <w:szCs w:val="24"/>
        </w:rPr>
      </w:pPr>
    </w:p>
    <w:p w14:paraId="338D181C" w14:textId="77777777" w:rsidR="00724D28" w:rsidRDefault="00724D28" w:rsidP="00724D28">
      <w:pPr>
        <w:pStyle w:val="Default"/>
        <w:rPr>
          <w:rFonts w:ascii="Times New Roman" w:eastAsia="Times New Roman" w:hAnsi="Times New Roman" w:cs="Times New Roman"/>
          <w:sz w:val="24"/>
          <w:szCs w:val="24"/>
        </w:rPr>
      </w:pPr>
      <w:r>
        <w:rPr>
          <w:noProof/>
          <w:lang w:val="en-CA"/>
        </w:rPr>
        <w:lastRenderedPageBreak/>
        <w:drawing>
          <wp:inline distT="0" distB="0" distL="0" distR="0" wp14:anchorId="2A1C3D3D" wp14:editId="186612D9">
            <wp:extent cx="6372225" cy="4572000"/>
            <wp:effectExtent l="0" t="0" r="9525" b="0"/>
            <wp:docPr id="1" name="Picture 1" descr="cid:image002.jpg@01D89153.BB4E65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89153.BB4E65E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6372225" cy="4572000"/>
                    </a:xfrm>
                    <a:prstGeom prst="rect">
                      <a:avLst/>
                    </a:prstGeom>
                    <a:noFill/>
                    <a:ln>
                      <a:noFill/>
                    </a:ln>
                  </pic:spPr>
                </pic:pic>
              </a:graphicData>
            </a:graphic>
          </wp:inline>
        </w:drawing>
      </w:r>
    </w:p>
    <w:p w14:paraId="46E2AAFC" w14:textId="77777777" w:rsidR="00724D28" w:rsidRDefault="00724D28" w:rsidP="00724D28">
      <w:pPr>
        <w:pStyle w:val="Default"/>
        <w:rPr>
          <w:rFonts w:ascii="Times New Roman" w:eastAsia="Times New Roman" w:hAnsi="Times New Roman" w:cs="Times New Roman"/>
          <w:b/>
          <w:sz w:val="24"/>
          <w:szCs w:val="24"/>
        </w:rPr>
      </w:pPr>
    </w:p>
    <w:p w14:paraId="00C663F6" w14:textId="77777777" w:rsidR="00724D28" w:rsidRDefault="00724D28" w:rsidP="00724D28">
      <w:pPr>
        <w:autoSpaceDE w:val="0"/>
        <w:autoSpaceDN w:val="0"/>
        <w:adjustRightInd w:val="0"/>
        <w:rPr>
          <w:rFonts w:cs="Times New Roman"/>
          <w:color w:val="000000"/>
          <w:szCs w:val="24"/>
        </w:rPr>
      </w:pPr>
    </w:p>
    <w:p w14:paraId="55F582BF" w14:textId="4D773981" w:rsidR="00B17841" w:rsidRPr="00B17841" w:rsidRDefault="0025284D" w:rsidP="00B17841">
      <w:pPr>
        <w:autoSpaceDE w:val="0"/>
        <w:autoSpaceDN w:val="0"/>
        <w:adjustRightInd w:val="0"/>
        <w:rPr>
          <w:rFonts w:cs="Times New Roman"/>
          <w:color w:val="000000"/>
          <w:szCs w:val="24"/>
          <w:lang w:val="en-CA"/>
        </w:rPr>
      </w:pPr>
      <w:r>
        <w:rPr>
          <w:rFonts w:cs="Times New Roman"/>
          <w:b/>
          <w:bCs/>
          <w:color w:val="000000"/>
          <w:szCs w:val="24"/>
          <w:lang w:val="en-CA"/>
        </w:rPr>
        <w:t>MOOSEJAW – CAE(CMAT) Contract</w:t>
      </w:r>
      <w:r w:rsidR="00B17841">
        <w:rPr>
          <w:rFonts w:cs="Times New Roman"/>
          <w:b/>
          <w:bCs/>
          <w:color w:val="000000"/>
          <w:szCs w:val="24"/>
          <w:lang w:val="en-CA"/>
        </w:rPr>
        <w:t xml:space="preserve">: </w:t>
      </w:r>
      <w:r w:rsidR="00B17841" w:rsidRPr="00B17841">
        <w:rPr>
          <w:rFonts w:cs="Times New Roman"/>
          <w:color w:val="000000"/>
          <w:szCs w:val="24"/>
          <w:lang w:val="en-CA"/>
        </w:rPr>
        <w:t>UNDE highlighted concerns in the manner that the contract with CAE(MAT) / ATCO in Moose Jaw are being manage. It was noted that ADM(IE) does not have a role in managing these contracts. UNDE stated that they should be aware of what is happening to these UNDE private sector members that work at 15 Wing Moose</w:t>
      </w:r>
      <w:r w:rsidR="007A0C3C">
        <w:rPr>
          <w:rFonts w:cs="Times New Roman"/>
          <w:color w:val="000000"/>
          <w:szCs w:val="24"/>
          <w:lang w:val="en-CA"/>
        </w:rPr>
        <w:t xml:space="preserve"> </w:t>
      </w:r>
      <w:r w:rsidR="00B17841" w:rsidRPr="00B17841">
        <w:rPr>
          <w:rFonts w:cs="Times New Roman"/>
          <w:color w:val="000000"/>
          <w:szCs w:val="24"/>
          <w:lang w:val="en-CA"/>
        </w:rPr>
        <w:t>Jaw in support of the military and public service employees.</w:t>
      </w:r>
    </w:p>
    <w:p w14:paraId="46A5C3F0" w14:textId="77777777" w:rsidR="00724D28" w:rsidRPr="00B17841" w:rsidRDefault="00724D28" w:rsidP="00724D28">
      <w:pPr>
        <w:autoSpaceDE w:val="0"/>
        <w:autoSpaceDN w:val="0"/>
        <w:adjustRightInd w:val="0"/>
        <w:rPr>
          <w:rFonts w:cs="Times New Roman"/>
          <w:color w:val="000000"/>
          <w:szCs w:val="24"/>
          <w:lang w:val="en-CA"/>
        </w:rPr>
      </w:pPr>
    </w:p>
    <w:p w14:paraId="605A985D" w14:textId="77777777" w:rsidR="00B17841" w:rsidRPr="00B17841" w:rsidRDefault="00B17841" w:rsidP="00B17841">
      <w:pPr>
        <w:autoSpaceDE w:val="0"/>
        <w:autoSpaceDN w:val="0"/>
        <w:adjustRightInd w:val="0"/>
        <w:rPr>
          <w:rFonts w:cs="Times New Roman"/>
          <w:color w:val="000000"/>
          <w:szCs w:val="24"/>
          <w:lang w:val="en-CA"/>
        </w:rPr>
      </w:pPr>
      <w:r w:rsidRPr="00B17841">
        <w:rPr>
          <w:rFonts w:cs="Times New Roman"/>
          <w:b/>
          <w:bCs/>
          <w:color w:val="000000"/>
          <w:szCs w:val="24"/>
          <w:lang w:val="en-CA"/>
        </w:rPr>
        <w:t>CF RP OPS GP</w:t>
      </w:r>
      <w:r>
        <w:rPr>
          <w:rFonts w:cs="Times New Roman"/>
          <w:b/>
          <w:bCs/>
          <w:color w:val="000000"/>
          <w:szCs w:val="24"/>
          <w:lang w:val="en-CA"/>
        </w:rPr>
        <w:t xml:space="preserve"> EHS Council</w:t>
      </w:r>
      <w:r>
        <w:rPr>
          <w:rFonts w:cs="Times New Roman"/>
          <w:color w:val="000000"/>
          <w:szCs w:val="24"/>
          <w:lang w:val="en-CA"/>
        </w:rPr>
        <w:t>:</w:t>
      </w:r>
      <w:r w:rsidRPr="00B17841">
        <w:rPr>
          <w:rFonts w:cs="Times New Roman"/>
          <w:color w:val="000000"/>
          <w:szCs w:val="24"/>
          <w:lang w:val="en-CA"/>
        </w:rPr>
        <w:t xml:space="preserve"> Col Henley has found these meetings extremely beneficial in highlight shortfalls and gaps within the Formation and identifying trends that are developing. Union representatives to continue to attend.</w:t>
      </w:r>
    </w:p>
    <w:p w14:paraId="0E94213F" w14:textId="77777777" w:rsidR="00724D28" w:rsidRPr="00B17841" w:rsidRDefault="00724D28">
      <w:pPr>
        <w:rPr>
          <w:rFonts w:cs="Times New Roman"/>
          <w:szCs w:val="24"/>
          <w:lang w:val="en-CA"/>
        </w:rPr>
      </w:pPr>
    </w:p>
    <w:p w14:paraId="63CC3238" w14:textId="77777777" w:rsidR="00B17841" w:rsidRPr="00B17841" w:rsidRDefault="00B17841" w:rsidP="00B17841">
      <w:pPr>
        <w:autoSpaceDE w:val="0"/>
        <w:autoSpaceDN w:val="0"/>
        <w:adjustRightInd w:val="0"/>
        <w:rPr>
          <w:rFonts w:cs="Times New Roman"/>
          <w:color w:val="000000"/>
          <w:szCs w:val="24"/>
          <w:lang w:val="en-CA"/>
        </w:rPr>
      </w:pPr>
      <w:r w:rsidRPr="00B17841">
        <w:rPr>
          <w:rFonts w:cs="Times New Roman"/>
          <w:b/>
          <w:color w:val="000000"/>
          <w:szCs w:val="24"/>
          <w:lang w:val="en-CA"/>
        </w:rPr>
        <w:t>Col Horgan’s Retirement</w:t>
      </w:r>
      <w:r>
        <w:rPr>
          <w:rFonts w:cs="Times New Roman"/>
          <w:color w:val="000000"/>
          <w:szCs w:val="24"/>
          <w:lang w:val="en-CA"/>
        </w:rPr>
        <w:t xml:space="preserve"> </w:t>
      </w:r>
      <w:r w:rsidRPr="00B17841">
        <w:rPr>
          <w:rFonts w:cs="Times New Roman"/>
          <w:color w:val="000000"/>
          <w:szCs w:val="24"/>
          <w:lang w:val="en-CA"/>
        </w:rPr>
        <w:t xml:space="preserve">he stated the employees of ADM(IE) are doing the very best with the resources and personnel available. With the limited resources it is important to be smart about the investments that are being made for the real property assets. Together, the Union and management can be a strong advocate for more resources to help mitigate the challenges to deliver the best possible infrastructure program possible for the CAF. </w:t>
      </w:r>
    </w:p>
    <w:p w14:paraId="2BAF815C" w14:textId="77777777" w:rsidR="00B17841" w:rsidRPr="00B17841" w:rsidRDefault="00B17841" w:rsidP="00B17841">
      <w:pPr>
        <w:autoSpaceDE w:val="0"/>
        <w:autoSpaceDN w:val="0"/>
        <w:adjustRightInd w:val="0"/>
        <w:rPr>
          <w:rFonts w:cs="Times New Roman"/>
          <w:color w:val="000000"/>
          <w:sz w:val="23"/>
          <w:szCs w:val="23"/>
          <w:lang w:val="en-CA"/>
        </w:rPr>
      </w:pPr>
    </w:p>
    <w:p w14:paraId="0702794C" w14:textId="77777777" w:rsidR="0025284D" w:rsidRPr="00AD1C24" w:rsidRDefault="00AD1C24" w:rsidP="00AD1C24">
      <w:pPr>
        <w:autoSpaceDE w:val="0"/>
        <w:autoSpaceDN w:val="0"/>
        <w:adjustRightInd w:val="0"/>
        <w:rPr>
          <w:rFonts w:cs="Times New Roman"/>
          <w:b/>
          <w:szCs w:val="24"/>
        </w:rPr>
      </w:pPr>
      <w:r w:rsidRPr="00AD1C24">
        <w:rPr>
          <w:rFonts w:cs="Times New Roman"/>
          <w:b/>
          <w:szCs w:val="24"/>
        </w:rPr>
        <w:t xml:space="preserve">Beaver </w:t>
      </w:r>
      <w:proofErr w:type="gramStart"/>
      <w:r w:rsidRPr="00AD1C24">
        <w:rPr>
          <w:rFonts w:cs="Times New Roman"/>
          <w:b/>
          <w:szCs w:val="24"/>
        </w:rPr>
        <w:t xml:space="preserve">Tales  </w:t>
      </w:r>
      <w:r w:rsidRPr="00AD1C24">
        <w:rPr>
          <w:rFonts w:cs="Times New Roman"/>
          <w:szCs w:val="24"/>
          <w:lang w:val="en-CA"/>
        </w:rPr>
        <w:t>As</w:t>
      </w:r>
      <w:proofErr w:type="gramEnd"/>
      <w:r w:rsidRPr="00AD1C24">
        <w:rPr>
          <w:rFonts w:cs="Times New Roman"/>
          <w:szCs w:val="24"/>
          <w:lang w:val="en-CA"/>
        </w:rPr>
        <w:t xml:space="preserve"> Commander of the Canadian Forces Real Property Operations Group (CF RP Ops GP), I would like to thank ADM(IE)</w:t>
      </w:r>
      <w:r>
        <w:rPr>
          <w:rFonts w:cs="Times New Roman"/>
          <w:b/>
          <w:szCs w:val="24"/>
          <w:lang w:val="en-CA"/>
        </w:rPr>
        <w:t xml:space="preserve"> </w:t>
      </w:r>
      <w:r w:rsidRPr="00AD1C24">
        <w:rPr>
          <w:rFonts w:cs="Times New Roman"/>
          <w:szCs w:val="24"/>
          <w:lang w:val="en-CA"/>
        </w:rPr>
        <w:t>for allowing me the opportunity to provide the introduction to this edition of Beaver Tales. This month’s edition will have</w:t>
      </w:r>
      <w:r>
        <w:rPr>
          <w:rFonts w:cs="Times New Roman"/>
          <w:b/>
          <w:szCs w:val="24"/>
        </w:rPr>
        <w:t xml:space="preserve"> </w:t>
      </w:r>
      <w:r w:rsidRPr="00AD1C24">
        <w:rPr>
          <w:rFonts w:cs="Times New Roman"/>
          <w:szCs w:val="24"/>
          <w:lang w:val="en-CA"/>
        </w:rPr>
        <w:t xml:space="preserve">an RP Ops focus and, as such, I would like to specifically acknowledge all the writers </w:t>
      </w:r>
      <w:r>
        <w:rPr>
          <w:rFonts w:cs="Times New Roman"/>
          <w:szCs w:val="24"/>
          <w:lang w:val="en-CA"/>
        </w:rPr>
        <w:t xml:space="preserve">from the CF RP Ops </w:t>
      </w:r>
      <w:proofErr w:type="spellStart"/>
      <w:r>
        <w:rPr>
          <w:rFonts w:cs="Times New Roman"/>
          <w:szCs w:val="24"/>
          <w:lang w:val="en-CA"/>
        </w:rPr>
        <w:t>Gp</w:t>
      </w:r>
      <w:proofErr w:type="spellEnd"/>
      <w:r>
        <w:rPr>
          <w:rFonts w:cs="Times New Roman"/>
          <w:szCs w:val="24"/>
          <w:lang w:val="en-CA"/>
        </w:rPr>
        <w:t xml:space="preserve"> for their </w:t>
      </w:r>
      <w:r w:rsidRPr="00AD1C24">
        <w:rPr>
          <w:rFonts w:cs="Times New Roman"/>
          <w:szCs w:val="24"/>
          <w:lang w:val="en-CA"/>
        </w:rPr>
        <w:t>regular contributions to Beaver Tales – the articles are truly outstanding!</w:t>
      </w:r>
    </w:p>
    <w:p w14:paraId="04F4080B" w14:textId="77777777" w:rsidR="00AD1C24" w:rsidRDefault="00AD1C24" w:rsidP="0025284D">
      <w:pPr>
        <w:autoSpaceDE w:val="0"/>
        <w:autoSpaceDN w:val="0"/>
        <w:adjustRightInd w:val="0"/>
        <w:rPr>
          <w:rFonts w:cs="Times New Roman"/>
          <w:b/>
          <w:szCs w:val="24"/>
        </w:rPr>
      </w:pPr>
    </w:p>
    <w:p w14:paraId="20E540A6" w14:textId="77777777" w:rsidR="0025284D" w:rsidRPr="00AD1C24" w:rsidRDefault="0025284D" w:rsidP="0025284D">
      <w:pPr>
        <w:autoSpaceDE w:val="0"/>
        <w:autoSpaceDN w:val="0"/>
        <w:adjustRightInd w:val="0"/>
        <w:rPr>
          <w:rFonts w:cs="Times New Roman"/>
          <w:b/>
          <w:szCs w:val="24"/>
        </w:rPr>
      </w:pPr>
      <w:r w:rsidRPr="00AD1C24">
        <w:rPr>
          <w:rFonts w:cs="Times New Roman"/>
          <w:b/>
          <w:szCs w:val="24"/>
        </w:rPr>
        <w:lastRenderedPageBreak/>
        <w:t>Agenda for meeting on 01 Dec 22 UMCC:</w:t>
      </w:r>
    </w:p>
    <w:p w14:paraId="15EDF20E" w14:textId="77777777" w:rsidR="0025284D" w:rsidRDefault="0025284D" w:rsidP="0025284D">
      <w:pPr>
        <w:pStyle w:val="ListParagraph"/>
        <w:numPr>
          <w:ilvl w:val="0"/>
          <w:numId w:val="1"/>
        </w:numPr>
        <w:rPr>
          <w:szCs w:val="24"/>
        </w:rPr>
      </w:pPr>
      <w:r w:rsidRPr="00AD1C24">
        <w:rPr>
          <w:szCs w:val="24"/>
        </w:rPr>
        <w:t>Budget/SWE</w:t>
      </w:r>
    </w:p>
    <w:p w14:paraId="646BBD14" w14:textId="77777777" w:rsidR="00AD1C24" w:rsidRDefault="00AD1C24" w:rsidP="0025284D">
      <w:pPr>
        <w:pStyle w:val="ListParagraph"/>
        <w:numPr>
          <w:ilvl w:val="0"/>
          <w:numId w:val="1"/>
        </w:numPr>
        <w:rPr>
          <w:szCs w:val="24"/>
        </w:rPr>
      </w:pPr>
      <w:r>
        <w:rPr>
          <w:szCs w:val="24"/>
        </w:rPr>
        <w:t>Moving of other funds to SWE</w:t>
      </w:r>
    </w:p>
    <w:p w14:paraId="144198BC" w14:textId="77777777" w:rsidR="00AD1C24" w:rsidRPr="00AD1C24" w:rsidRDefault="00AD1C24" w:rsidP="0025284D">
      <w:pPr>
        <w:pStyle w:val="ListParagraph"/>
        <w:numPr>
          <w:ilvl w:val="0"/>
          <w:numId w:val="1"/>
        </w:numPr>
        <w:rPr>
          <w:szCs w:val="24"/>
        </w:rPr>
      </w:pPr>
      <w:r>
        <w:rPr>
          <w:szCs w:val="24"/>
        </w:rPr>
        <w:t>Apprenticeship Funding</w:t>
      </w:r>
    </w:p>
    <w:p w14:paraId="338D306D" w14:textId="77777777" w:rsidR="0025284D" w:rsidRPr="00AD1C24" w:rsidRDefault="0025284D" w:rsidP="0025284D">
      <w:pPr>
        <w:pStyle w:val="ListParagraph"/>
        <w:numPr>
          <w:ilvl w:val="0"/>
          <w:numId w:val="1"/>
        </w:numPr>
        <w:rPr>
          <w:szCs w:val="24"/>
        </w:rPr>
      </w:pPr>
      <w:r w:rsidRPr="00AD1C24">
        <w:rPr>
          <w:szCs w:val="24"/>
        </w:rPr>
        <w:t xml:space="preserve">Standby pay  </w:t>
      </w:r>
    </w:p>
    <w:p w14:paraId="4A878E0E" w14:textId="77777777" w:rsidR="0025284D" w:rsidRPr="00AD1C24" w:rsidRDefault="0025284D" w:rsidP="0025284D">
      <w:pPr>
        <w:pStyle w:val="ListParagraph"/>
        <w:numPr>
          <w:ilvl w:val="0"/>
          <w:numId w:val="1"/>
        </w:numPr>
        <w:rPr>
          <w:szCs w:val="24"/>
        </w:rPr>
      </w:pPr>
      <w:r w:rsidRPr="00AD1C24">
        <w:rPr>
          <w:szCs w:val="24"/>
        </w:rPr>
        <w:t>Staffing summary/vacancy report</w:t>
      </w:r>
    </w:p>
    <w:p w14:paraId="4D617B5D" w14:textId="77777777" w:rsidR="0025284D" w:rsidRPr="00AD1C24" w:rsidRDefault="0025284D" w:rsidP="0025284D">
      <w:pPr>
        <w:pStyle w:val="ListParagraph"/>
        <w:numPr>
          <w:ilvl w:val="0"/>
          <w:numId w:val="1"/>
        </w:numPr>
        <w:rPr>
          <w:szCs w:val="24"/>
        </w:rPr>
      </w:pPr>
      <w:r w:rsidRPr="00AD1C24">
        <w:rPr>
          <w:szCs w:val="24"/>
        </w:rPr>
        <w:t>Deloitte final report</w:t>
      </w:r>
    </w:p>
    <w:p w14:paraId="2FC6752E" w14:textId="77777777" w:rsidR="0025284D" w:rsidRPr="00AD1C24" w:rsidRDefault="0025284D" w:rsidP="0025284D">
      <w:pPr>
        <w:pStyle w:val="ListParagraph"/>
        <w:numPr>
          <w:ilvl w:val="0"/>
          <w:numId w:val="1"/>
        </w:numPr>
        <w:rPr>
          <w:szCs w:val="24"/>
        </w:rPr>
      </w:pPr>
      <w:r w:rsidRPr="00AD1C24">
        <w:rPr>
          <w:szCs w:val="24"/>
        </w:rPr>
        <w:t>TOR finalized</w:t>
      </w:r>
    </w:p>
    <w:p w14:paraId="6B8A29BE" w14:textId="4F517C72" w:rsidR="0025284D" w:rsidRPr="00AD1C24" w:rsidRDefault="0025284D" w:rsidP="00763804">
      <w:pPr>
        <w:pStyle w:val="ListParagraph"/>
        <w:numPr>
          <w:ilvl w:val="0"/>
          <w:numId w:val="1"/>
        </w:numPr>
        <w:rPr>
          <w:szCs w:val="24"/>
        </w:rPr>
      </w:pPr>
      <w:r w:rsidRPr="00AD1C24">
        <w:rPr>
          <w:szCs w:val="24"/>
        </w:rPr>
        <w:t>New CAE (CMAT) contract sub</w:t>
      </w:r>
      <w:r w:rsidR="00A20B94">
        <w:rPr>
          <w:szCs w:val="24"/>
        </w:rPr>
        <w:t>-</w:t>
      </w:r>
      <w:r w:rsidRPr="00AD1C24">
        <w:rPr>
          <w:szCs w:val="24"/>
        </w:rPr>
        <w:t>contractor SERCO with sub</w:t>
      </w:r>
      <w:r w:rsidR="00A20B94">
        <w:rPr>
          <w:szCs w:val="24"/>
        </w:rPr>
        <w:t>-</w:t>
      </w:r>
      <w:r w:rsidRPr="00AD1C24">
        <w:rPr>
          <w:szCs w:val="24"/>
        </w:rPr>
        <w:t xml:space="preserve">contractor CBO  </w:t>
      </w:r>
    </w:p>
    <w:p w14:paraId="2E705B88" w14:textId="77777777" w:rsidR="0025284D" w:rsidRPr="00AD1C24" w:rsidRDefault="0025284D" w:rsidP="0025284D">
      <w:pPr>
        <w:pStyle w:val="ListParagraph"/>
        <w:numPr>
          <w:ilvl w:val="0"/>
          <w:numId w:val="1"/>
        </w:numPr>
        <w:autoSpaceDE w:val="0"/>
        <w:autoSpaceDN w:val="0"/>
        <w:adjustRightInd w:val="0"/>
        <w:rPr>
          <w:rFonts w:cs="Times New Roman"/>
          <w:szCs w:val="24"/>
        </w:rPr>
      </w:pPr>
      <w:r w:rsidRPr="00AD1C24">
        <w:rPr>
          <w:rFonts w:cs="Times New Roman"/>
          <w:szCs w:val="24"/>
        </w:rPr>
        <w:t>Strategic Review NCR</w:t>
      </w:r>
    </w:p>
    <w:p w14:paraId="27742D7A" w14:textId="77777777" w:rsidR="0025284D" w:rsidRPr="00AD1C24" w:rsidRDefault="0025284D" w:rsidP="0025284D">
      <w:pPr>
        <w:rPr>
          <w:szCs w:val="24"/>
          <w:lang w:val="en-CA"/>
        </w:rPr>
      </w:pPr>
    </w:p>
    <w:p w14:paraId="2F015639" w14:textId="77777777" w:rsidR="0025284D" w:rsidRPr="00AD1C24" w:rsidRDefault="0025284D" w:rsidP="0025284D">
      <w:pPr>
        <w:rPr>
          <w:szCs w:val="24"/>
          <w:lang w:val="en-CA"/>
        </w:rPr>
      </w:pPr>
      <w:r w:rsidRPr="00AD1C24">
        <w:rPr>
          <w:szCs w:val="24"/>
          <w:lang w:val="en-CA"/>
        </w:rPr>
        <w:t xml:space="preserve">Respectfully submitted by </w:t>
      </w:r>
    </w:p>
    <w:p w14:paraId="61558553" w14:textId="77777777" w:rsidR="0025284D" w:rsidRPr="00AD1C24" w:rsidRDefault="0025284D" w:rsidP="0025284D">
      <w:pPr>
        <w:pStyle w:val="Default"/>
        <w:rPr>
          <w:rFonts w:ascii="Times New Roman" w:eastAsia="Times New Roman" w:hAnsi="Times New Roman" w:cs="Times New Roman"/>
          <w:sz w:val="24"/>
          <w:szCs w:val="24"/>
        </w:rPr>
      </w:pPr>
      <w:r w:rsidRPr="00AD1C24">
        <w:rPr>
          <w:rFonts w:ascii="Times New Roman" w:hAnsi="Times New Roman"/>
          <w:sz w:val="24"/>
          <w:szCs w:val="24"/>
          <w:lang w:val="nl-NL"/>
        </w:rPr>
        <w:t xml:space="preserve">Mona Simcoe </w:t>
      </w:r>
      <w:r w:rsidRPr="00AD1C24">
        <w:rPr>
          <w:rFonts w:ascii="Times New Roman" w:hAnsi="Times New Roman"/>
          <w:sz w:val="24"/>
          <w:szCs w:val="24"/>
        </w:rPr>
        <w:t xml:space="preserve">          Marcelo Lazaro</w:t>
      </w:r>
    </w:p>
    <w:p w14:paraId="28E898F8" w14:textId="77777777" w:rsidR="0025284D" w:rsidRPr="00AD1C24" w:rsidRDefault="0025284D" w:rsidP="0025284D">
      <w:pPr>
        <w:pStyle w:val="Default"/>
        <w:rPr>
          <w:rFonts w:ascii="Times New Roman" w:eastAsia="Times New Roman" w:hAnsi="Times New Roman" w:cs="Times New Roman"/>
          <w:sz w:val="24"/>
          <w:szCs w:val="24"/>
        </w:rPr>
      </w:pPr>
      <w:r w:rsidRPr="00AD1C24">
        <w:rPr>
          <w:rFonts w:ascii="Times New Roman" w:hAnsi="Times New Roman"/>
          <w:sz w:val="24"/>
          <w:szCs w:val="24"/>
        </w:rPr>
        <w:t>VP MB/</w:t>
      </w:r>
      <w:proofErr w:type="spellStart"/>
      <w:r w:rsidRPr="00AD1C24">
        <w:rPr>
          <w:rFonts w:ascii="Times New Roman" w:hAnsi="Times New Roman"/>
          <w:sz w:val="24"/>
          <w:szCs w:val="24"/>
        </w:rPr>
        <w:t>Sask</w:t>
      </w:r>
      <w:proofErr w:type="spellEnd"/>
      <w:r w:rsidRPr="00AD1C24">
        <w:rPr>
          <w:rFonts w:ascii="Times New Roman" w:hAnsi="Times New Roman"/>
          <w:sz w:val="24"/>
          <w:szCs w:val="24"/>
        </w:rPr>
        <w:t xml:space="preserve">             VP BC</w:t>
      </w:r>
    </w:p>
    <w:p w14:paraId="7E41376F" w14:textId="77777777" w:rsidR="0025284D" w:rsidRPr="00AD1C24" w:rsidRDefault="0025284D" w:rsidP="0025284D">
      <w:pPr>
        <w:pStyle w:val="Default"/>
        <w:rPr>
          <w:rFonts w:hint="eastAsia"/>
          <w:sz w:val="24"/>
          <w:szCs w:val="24"/>
        </w:rPr>
      </w:pPr>
      <w:r w:rsidRPr="00AD1C24">
        <w:rPr>
          <w:rFonts w:ascii="Times New Roman" w:hAnsi="Times New Roman"/>
          <w:sz w:val="24"/>
          <w:szCs w:val="24"/>
          <w:lang w:val="en-CA"/>
        </w:rPr>
        <w:t>Co-Chair</w:t>
      </w:r>
    </w:p>
    <w:p w14:paraId="26F89942" w14:textId="77777777" w:rsidR="00B17841" w:rsidRPr="00AD1C24" w:rsidRDefault="00B17841">
      <w:pPr>
        <w:rPr>
          <w:szCs w:val="24"/>
        </w:rPr>
      </w:pPr>
    </w:p>
    <w:sectPr w:rsidR="00B17841" w:rsidRPr="00AD1C24" w:rsidSect="00A20B94">
      <w:pgSz w:w="12240" w:h="15840"/>
      <w:pgMar w:top="42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3D2C44"/>
    <w:multiLevelType w:val="hybridMultilevel"/>
    <w:tmpl w:val="AF12D7C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65074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D28"/>
    <w:rsid w:val="001D2F3E"/>
    <w:rsid w:val="00243C54"/>
    <w:rsid w:val="0025284D"/>
    <w:rsid w:val="003B4855"/>
    <w:rsid w:val="00724D28"/>
    <w:rsid w:val="007A0C3C"/>
    <w:rsid w:val="00A20B94"/>
    <w:rsid w:val="00AD1C24"/>
    <w:rsid w:val="00B17841"/>
    <w:rsid w:val="00E4387D"/>
    <w:rsid w:val="00EA0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6E74A"/>
  <w15:chartTrackingRefBased/>
  <w15:docId w15:val="{5EC13D5A-9647-4BFA-8093-B2AEB0C72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D28"/>
  </w:style>
  <w:style w:type="paragraph" w:styleId="Heading1">
    <w:name w:val="heading 1"/>
    <w:basedOn w:val="Normal"/>
    <w:next w:val="Normal"/>
    <w:link w:val="Heading1Char"/>
    <w:uiPriority w:val="9"/>
    <w:qFormat/>
    <w:rsid w:val="00EA047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24D28"/>
    <w:pPr>
      <w:pBdr>
        <w:top w:val="nil"/>
        <w:left w:val="nil"/>
        <w:bottom w:val="nil"/>
        <w:right w:val="nil"/>
        <w:between w:val="nil"/>
        <w:bar w:val="nil"/>
      </w:pBdr>
    </w:pPr>
    <w:rPr>
      <w:rFonts w:ascii="Helvetica Neue" w:eastAsia="Arial Unicode MS" w:hAnsi="Helvetica Neue" w:cs="Arial Unicode MS"/>
      <w:color w:val="000000"/>
      <w:sz w:val="22"/>
      <w:bdr w:val="nil"/>
      <w:lang w:eastAsia="en-CA"/>
    </w:rPr>
  </w:style>
  <w:style w:type="paragraph" w:styleId="NoSpacing">
    <w:name w:val="No Spacing"/>
    <w:uiPriority w:val="1"/>
    <w:qFormat/>
    <w:rsid w:val="00EA047F"/>
  </w:style>
  <w:style w:type="character" w:customStyle="1" w:styleId="Heading1Char">
    <w:name w:val="Heading 1 Char"/>
    <w:basedOn w:val="DefaultParagraphFont"/>
    <w:link w:val="Heading1"/>
    <w:uiPriority w:val="9"/>
    <w:rsid w:val="00EA047F"/>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2528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859210">
      <w:bodyDiv w:val="1"/>
      <w:marLeft w:val="0"/>
      <w:marRight w:val="0"/>
      <w:marTop w:val="0"/>
      <w:marBottom w:val="0"/>
      <w:divBdr>
        <w:top w:val="none" w:sz="0" w:space="0" w:color="auto"/>
        <w:left w:val="none" w:sz="0" w:space="0" w:color="auto"/>
        <w:bottom w:val="none" w:sz="0" w:space="0" w:color="auto"/>
        <w:right w:val="none" w:sz="0" w:space="0" w:color="auto"/>
      </w:divBdr>
    </w:div>
    <w:div w:id="58827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2.jpg@01D89153.BB4E65E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876</Words>
  <Characters>4995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Department of National Defence</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simcoe.m</dc:creator>
  <cp:keywords/>
  <dc:description/>
  <cp:lastModifiedBy>Sandra Mombourquette</cp:lastModifiedBy>
  <cp:revision>4</cp:revision>
  <dcterms:created xsi:type="dcterms:W3CDTF">2022-11-11T20:54:00Z</dcterms:created>
  <dcterms:modified xsi:type="dcterms:W3CDTF">2022-11-15T19:05:00Z</dcterms:modified>
</cp:coreProperties>
</file>