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8F" w:rsidRDefault="00EC098F" w:rsidP="00AD7A1A">
      <w:pPr>
        <w:pStyle w:val="Heading1"/>
        <w:jc w:val="center"/>
        <w:rPr>
          <w:b w:val="0"/>
          <w:bCs w:val="0"/>
          <w:u w:val="none"/>
        </w:rPr>
      </w:pPr>
      <w:r>
        <w:t>RAPPORT FINANCIER – MAI 2016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C098F" w:rsidRDefault="00EC098F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C098F" w:rsidRDefault="00EC098F">
      <w:pPr/>
    </w:p>
    <w:p w:rsidR="00EC098F" w:rsidRDefault="00EC098F">
      <w:r>
        <w:rPr>
          <w:b/>
        </w:rPr>
        <w:t>Adhésion</w:t>
      </w:r>
      <w:r>
        <w:t xml:space="preserve"> – D'après la feuille de calcul, le nombre de membres s'est stabilisé au cours de l'année. </w:t>
      </w:r>
      <w:r>
        <w:t>Le nombre de membres a chuté à près de 16 000, s'est stabilisé à environ 16 200 puis est récemment passé à 16 400.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C098F" w:rsidRDefault="00EC098F">
      <w:pPr/>
    </w:p>
    <w:p w:rsidR="00EC098F" w:rsidRDefault="00EC098F">
      <w:r>
        <w:rPr>
          <w:b w:val="1"/>
        </w:rPr>
        <w:t>Rapport des vérificateurs du 30 septembre 2015</w:t>
      </w:r>
      <w:r>
        <w:t xml:space="preserve"> – Les états financiers produits par les vérificateurs correspondent à nos états financiers internes et indiquent un excédent de fonctionnement de 638 700 $ à la fin du premier exercice financier de la période budgétaire sur trois ans. </w:t>
      </w:r>
      <w:r>
        <w:t>Puisqu'il s'agit de données anciennes, il est plus utile de se concentrer sur les états financiers plus récents.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C098F" w:rsidRDefault="00EC098F">
      <w:pPr/>
    </w:p>
    <w:p w:rsidR="00EC098F" w:rsidRDefault="00EC098F">
      <w:pPr>
        <w:rPr>
          <w:b/>
          <w:bCs/>
        </w:rPr>
      </w:pPr>
      <w:r>
        <w:rPr>
          <w:b/>
        </w:rPr>
        <w:t>États financiers du 31 décembre 2015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C098F" w:rsidRDefault="00EC098F">
      <w:pPr>
        <w:rPr>
          <w:b/>
          <w:bCs/>
        </w:rPr>
      </w:pPr>
    </w:p>
    <w:p w:rsidR="00EC098F" w:rsidRDefault="00EC098F">
      <w:r>
        <w:t xml:space="preserve">Page 2 – L'excédent de fonctionnement était de 637 400 $. </w:t>
      </w:r>
      <w:r>
        <w:t>Les états financiers de mai et juin donneront une meilleure idée de la situation financière par rapport au budget puisque la totalité des coûts associés à la conférence sur la santé et la sécurité, à la conférence des présidents des sections locales et au 50</w:t>
      </w:r>
      <w:r>
        <w:rPr>
          <w:vertAlign w:val="superscript"/>
        </w:rPr>
        <w:t>e</w:t>
      </w:r>
      <w:r>
        <w:t xml:space="preserve"> anniversaire auront été pris en compte.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C098F" w:rsidRDefault="00EC098F">
      <w:pPr/>
    </w:p>
    <w:p w:rsidR="00EC098F" w:rsidRDefault="00EC098F">
      <w:r>
        <w:t xml:space="preserve">Page 4 – Après les 15 premiers mois, les frais de déplacement de la VPE s'élèvent à 46 500 $ sur un budget de 50 000 $. </w:t>
      </w:r>
      <w:r>
        <w:t xml:space="preserve">Ces frais sont compensés par les frais de déplacement du président, qui s'élèvent à 48 000 $ sur un budget de 150 000 $. </w:t>
      </w:r>
      <w:r>
        <w:t xml:space="preserve">Pour la première fois, la VPE a effectué un nombre appréciable de déplacements précédemment effectués par le président. </w:t>
      </w:r>
      <w:r>
        <w:t>Les frais de déplacement cumulés de ces derniers sont légèrement supérieurs au budget et deux des trois cycles de tournées de l'AGA sont terminés.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C098F" w:rsidRDefault="00EC098F">
      <w:pPr/>
    </w:p>
    <w:p w:rsidR="00EC098F" w:rsidRDefault="00EC098F">
      <w:r>
        <w:t xml:space="preserve">Page 6 – Conférence des présidents des sections locales – Les coûts de la première s'élèvent à 241 000 $. </w:t>
      </w:r>
      <w:r>
        <w:t xml:space="preserve">Le budget total établi était de 450 000 $. </w:t>
      </w:r>
      <w:r>
        <w:t xml:space="preserve">Si la conférence qui vient de se tenir engendre des coûts similaires, il y aura dépassement du budget total. </w:t>
      </w:r>
      <w:r>
        <w:t>Une conférence chaque année coûterait un total d'environ 725 000 $ ou plus.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C098F" w:rsidRDefault="00EC098F">
      <w:pPr/>
    </w:p>
    <w:p w:rsidR="00EC098F" w:rsidRDefault="00EC098F">
      <w:r>
        <w:t xml:space="preserve">Page 10 – Activités syndicales – Les dépenses totales de 145 000 $ sont bien en deçà du budget total de 1 M$. </w:t>
      </w:r>
      <w:r>
        <w:t>Avec le changement de gouvernement, ce secteur de dépenses pourrait permettre de compenser les dépenses excessives dans d'autres secteurs.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C098F" w:rsidRDefault="00EC098F">
      <w:pPr/>
    </w:p>
    <w:p w:rsidR="00EC098F" w:rsidRDefault="00EC098F">
      <w:r>
        <w:t>Page 12 – Congrès des fédérations du travail – Sur un budget de 220 000 $, des dépenses de 157 500 $ ont déjà été engendrées, ce qui comprend les coûts élevés associés au Congrès de l'Ontario.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C098F" w:rsidRDefault="00EC098F">
      <w:pPr/>
    </w:p>
    <w:p w:rsidR="00EC098F" w:rsidRDefault="00EC098F">
      <w:r>
        <w:rPr>
          <w:b/>
        </w:rPr>
        <w:t>CHÈQUES DE REMISE DES SECTIONS LOCALES/LISTES DE MEMBRES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C098F" w:rsidRDefault="00EC098F">
      <w:pPr/>
    </w:p>
    <w:p w:rsidR="00EC098F" w:rsidRDefault="00EC098F">
      <w:r>
        <w:t xml:space="preserve">Avec le dépôt direct mensuel des chèques de remise, un avis par courriel est envoyé à l'adresse électronique fournie par la section locale (c.-à-d. </w:t>
      </w:r>
      <w:r>
        <w:t xml:space="preserve">l'adresse électronique générale de la section locale ou celle du président ou du trésorier). </w:t>
      </w:r>
      <w:r>
        <w:t xml:space="preserve">Le fichier contenant la liste de membres (listes d'adhésion) est joint à ce courriel mensuel. </w:t>
      </w:r>
      <w:r>
        <w:t>Les sections locales sont encouragées à communiquer entre elles avant de contacter le Bureau national pour demander des copies de ces listes de membres.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C098F" w:rsidRDefault="00EC098F">
      <w:pPr/>
    </w:p>
    <w:p w:rsidR="00EC098F" w:rsidRDefault="00EC098F">
      <w:r>
        <w:t>J'aimerais remercier les confrères Desbiens et Frost pour leur appui, ainsi que le confrère Loshuk pour son infinie sagesse.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C098F" w:rsidRDefault="00EC098F">
      <w:pPr/>
    </w:p>
    <w:p w:rsidR="00EC098F" w:rsidRDefault="00EC098F">
      <w:r>
        <w:t xml:space="preserve">Philippe Turcq, Comité des finances de l'UEDN 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C09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148B"/>
    <w:multiLevelType w:val="hybridMultilevel"/>
    <w:tmpl w:val="CD9C91CC"/>
    <w:lvl w:ilvl="0" w:tplc="C4CC6486"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5A220537"/>
    <w:multiLevelType w:val="hybridMultilevel"/>
    <w:tmpl w:val="F8FA3CBA"/>
    <w:lvl w:ilvl="0" w:tplc="A4CE0E3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7D51616"/>
    <w:multiLevelType w:val="hybridMultilevel"/>
    <w:tmpl w:val="89867B9C"/>
    <w:lvl w:ilvl="0" w:tplc="6CFEC4C6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98F"/>
    <w:rsid w:val="003E78BA"/>
    <w:rsid w:val="006370E5"/>
    <w:rsid w:val="00AD7A1A"/>
    <w:rsid w:val="00E82455"/>
    <w:rsid w:val="00E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4E0F72-4A4E-49FE-8289-C1641C926EE0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Pr>
      <w:sz w:val="24"/>
      <w:szCs w:val="24"/>
      <w:lang w:val="fr-CA"/>
    </w:rPr>
  </w:style>
  <w:style xmlns:w15="http://schemas.microsoft.com/office/word/2012/wordml"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xmlns:w15="http://schemas.microsoft.com/office/word/2012/wordml" w:type="character" w:default="1" w:styleId="DefaultParagraphFont">
    <w:name w:val="Default Paragraph Font"/>
    <w:semiHidden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 <Relationship Id="rId7" Type="http://schemas.openxmlformats.org/officeDocument/2006/relationships/comments" Target="comment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7AA3E44C.dotm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</vt:lpstr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</dc:title>
  <dc:subject/>
  <dc:creator>Brian</dc:creator>
  <cp:keywords/>
  <cp:lastModifiedBy>Dumbrava, Cristina</cp:lastModifiedBy>
  <cp:revision>2</cp:revision>
  <dcterms:created xsi:type="dcterms:W3CDTF">2016-06-16T19:42:00Z</dcterms:created>
  <dcterms:modified xsi:type="dcterms:W3CDTF">2016-06-16T19:42:00Z</dcterms:modified>
</cp:coreProperties>
</file>